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大厂回族自治县</w:t>
      </w:r>
      <w:r>
        <w:rPr>
          <w:rFonts w:hint="eastAsia" w:ascii="Times New Roman" w:hAnsi="Times New Roman" w:eastAsia="方正小标宋简体" w:cs="Times New Roman"/>
          <w:sz w:val="44"/>
          <w:szCs w:val="44"/>
          <w:lang w:val="en-US" w:eastAsia="zh-CN"/>
        </w:rPr>
        <w:t>人民检察院</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22</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按照《中华人民共和国预算法》、《中华人民共和国预算法实施条例》、《地方预决算公开操作规程》和《河北省省级预算公开办法》规定，现将</w:t>
      </w:r>
      <w:r>
        <w:rPr>
          <w:rFonts w:hint="eastAsia" w:ascii="仿宋" w:hAnsi="仿宋" w:eastAsia="仿宋" w:cs="Times New Roman"/>
          <w:sz w:val="32"/>
          <w:szCs w:val="32"/>
        </w:rPr>
        <w:t>大厂回族自治县</w:t>
      </w:r>
      <w:r>
        <w:rPr>
          <w:rFonts w:hint="eastAsia" w:ascii="仿宋" w:hAnsi="仿宋" w:eastAsia="仿宋" w:cs="Times New Roman"/>
          <w:sz w:val="32"/>
          <w:szCs w:val="32"/>
          <w:lang w:val="en-US" w:eastAsia="zh-CN"/>
        </w:rPr>
        <w:t>人民检察院</w:t>
      </w:r>
      <w:r>
        <w:rPr>
          <w:rFonts w:ascii="仿宋" w:hAnsi="仿宋" w:eastAsia="仿宋" w:cs="Times New Roman"/>
          <w:sz w:val="32"/>
          <w:szCs w:val="32"/>
        </w:rPr>
        <w:t>20</w:t>
      </w:r>
      <w:r>
        <w:rPr>
          <w:rFonts w:hint="eastAsia" w:ascii="仿宋" w:hAnsi="仿宋" w:eastAsia="仿宋" w:cs="Times New Roman"/>
          <w:sz w:val="32"/>
          <w:szCs w:val="32"/>
        </w:rPr>
        <w:t>22</w:t>
      </w:r>
      <w:r>
        <w:rPr>
          <w:rFonts w:ascii="仿宋" w:hAnsi="仿宋" w:eastAsia="仿宋" w:cs="Times New Roman"/>
          <w:sz w:val="32"/>
          <w:szCs w:val="32"/>
        </w:rPr>
        <w:t>年部门预算公开如下：</w:t>
      </w:r>
    </w:p>
    <w:p>
      <w:pPr>
        <w:spacing w:line="584" w:lineRule="exact"/>
        <w:ind w:firstLine="640" w:firstLineChars="200"/>
        <w:rPr>
          <w:rFonts w:ascii="黑体" w:hAnsi="黑体" w:eastAsia="黑体" w:cs="Times New Roman"/>
          <w:sz w:val="32"/>
          <w:szCs w:val="32"/>
        </w:rPr>
      </w:pPr>
      <w:r>
        <w:rPr>
          <w:rFonts w:ascii="黑体" w:hAnsi="黑体" w:eastAsia="黑体" w:cs="Times New Roman"/>
          <w:sz w:val="32"/>
          <w:szCs w:val="32"/>
        </w:rPr>
        <w:t>一、部门职责及机构设置情况</w:t>
      </w:r>
    </w:p>
    <w:p>
      <w:pPr>
        <w:spacing w:line="584" w:lineRule="exact"/>
        <w:ind w:firstLine="643" w:firstLineChars="200"/>
        <w:rPr>
          <w:rFonts w:ascii="楷体" w:hAnsi="楷体" w:eastAsia="楷体" w:cs="Times New Roman"/>
          <w:b/>
          <w:sz w:val="32"/>
          <w:szCs w:val="32"/>
        </w:rPr>
      </w:pPr>
      <w:r>
        <w:rPr>
          <w:rFonts w:ascii="楷体" w:hAnsi="楷体" w:eastAsia="楷体" w:cs="Times New Roman"/>
          <w:b/>
          <w:sz w:val="32"/>
          <w:szCs w:val="32"/>
        </w:rPr>
        <w:t>部门职责：</w:t>
      </w:r>
    </w:p>
    <w:p>
      <w:pPr>
        <w:ind w:left="420" w:firstLine="640"/>
        <w:jc w:val="left"/>
        <w:rPr>
          <w:rFonts w:ascii="仿宋" w:hAnsi="仿宋" w:eastAsia="仿宋" w:cs="宋体"/>
          <w:sz w:val="32"/>
          <w:szCs w:val="32"/>
        </w:rPr>
      </w:pPr>
      <w:r>
        <w:rPr>
          <w:rFonts w:hint="eastAsia" w:ascii="仿宋" w:hAnsi="仿宋" w:eastAsia="仿宋" w:cs="宋体"/>
          <w:sz w:val="32"/>
          <w:szCs w:val="32"/>
        </w:rPr>
        <w:t>廊坊市大厂县人民检察院对大厂县人民代表大会及其常务委员会负责并报告工作。主要职责是：</w:t>
      </w:r>
    </w:p>
    <w:p>
      <w:pPr>
        <w:ind w:left="420" w:firstLine="640"/>
        <w:jc w:val="left"/>
        <w:rPr>
          <w:rFonts w:ascii="仿宋" w:hAnsi="仿宋" w:eastAsia="仿宋" w:cs="宋体"/>
          <w:sz w:val="32"/>
          <w:szCs w:val="32"/>
        </w:rPr>
      </w:pPr>
      <w:r>
        <w:rPr>
          <w:rFonts w:ascii="仿宋" w:hAnsi="仿宋" w:eastAsia="仿宋" w:cs="宋体"/>
          <w:sz w:val="32"/>
          <w:szCs w:val="32"/>
        </w:rPr>
        <w:t>（一）打击犯罪、保障人权、维护司法公正。全面审查案件事实，核实证据，依法提出审查意见，打击犯罪，保障人权，维护司法公正。加大办案力度，提高办案质量。</w:t>
      </w:r>
    </w:p>
    <w:p>
      <w:pPr>
        <w:ind w:left="420" w:firstLine="640"/>
        <w:jc w:val="left"/>
        <w:rPr>
          <w:rFonts w:ascii="仿宋" w:hAnsi="仿宋" w:eastAsia="仿宋" w:cs="宋体"/>
          <w:sz w:val="32"/>
          <w:szCs w:val="32"/>
        </w:rPr>
      </w:pPr>
      <w:r>
        <w:rPr>
          <w:rFonts w:ascii="仿宋" w:hAnsi="仿宋" w:eastAsia="仿宋" w:cs="宋体"/>
          <w:sz w:val="32"/>
          <w:szCs w:val="32"/>
        </w:rPr>
        <w:t>（二）保障刑罚执行和刑事执行活动的依法有序进行。使我县未检在全市检察机关位于先进行列</w:t>
      </w:r>
    </w:p>
    <w:p>
      <w:pPr>
        <w:ind w:left="420" w:firstLine="640"/>
        <w:jc w:val="left"/>
        <w:rPr>
          <w:rFonts w:ascii="仿宋" w:hAnsi="仿宋" w:eastAsia="仿宋" w:cs="宋体"/>
          <w:sz w:val="32"/>
          <w:szCs w:val="32"/>
        </w:rPr>
      </w:pPr>
      <w:r>
        <w:rPr>
          <w:rFonts w:ascii="仿宋" w:hAnsi="仿宋" w:eastAsia="仿宋" w:cs="宋体"/>
          <w:sz w:val="32"/>
          <w:szCs w:val="32"/>
        </w:rPr>
        <w:t>（三）加强各项检察辅助职能，为检察业务提供有力保障。构建依法有序信访秩序，及时依法解决群众诉求。</w:t>
      </w:r>
    </w:p>
    <w:p>
      <w:pPr>
        <w:ind w:left="420" w:firstLine="640"/>
        <w:jc w:val="left"/>
        <w:rPr>
          <w:rFonts w:ascii="仿宋" w:hAnsi="仿宋" w:eastAsia="仿宋" w:cs="宋体"/>
          <w:sz w:val="32"/>
          <w:szCs w:val="32"/>
        </w:rPr>
      </w:pPr>
      <w:r>
        <w:rPr>
          <w:rFonts w:ascii="仿宋" w:hAnsi="仿宋" w:eastAsia="仿宋" w:cs="宋体"/>
          <w:sz w:val="32"/>
          <w:szCs w:val="32"/>
        </w:rPr>
        <w:t>（四）加强和改进举报工作，保护被赔偿人和被救助人合法权益。提高执法水平和办案质量、提升检察机关法律监督能力,为检察工作顺利开展提供保障。</w:t>
      </w:r>
    </w:p>
    <w:p>
      <w:pPr>
        <w:spacing w:line="584" w:lineRule="exact"/>
        <w:ind w:firstLine="643" w:firstLineChars="200"/>
        <w:rPr>
          <w:rFonts w:ascii="楷体" w:hAnsi="楷体" w:eastAsia="楷体" w:cs="Times New Roman"/>
          <w:b/>
          <w:sz w:val="32"/>
          <w:szCs w:val="32"/>
        </w:rPr>
      </w:pPr>
      <w:r>
        <w:rPr>
          <w:rFonts w:ascii="楷体" w:hAnsi="楷体" w:eastAsia="楷体" w:cs="Times New Roman"/>
          <w:b/>
          <w:sz w:val="32"/>
          <w:szCs w:val="32"/>
        </w:rPr>
        <w:t>机构设置：</w:t>
      </w:r>
    </w:p>
    <w:p>
      <w:pPr>
        <w:spacing w:line="584" w:lineRule="exact"/>
        <w:jc w:val="center"/>
        <w:outlineLvl w:val="0"/>
        <w:rPr>
          <w:rFonts w:ascii="仿宋" w:hAnsi="仿宋" w:eastAsia="仿宋" w:cs="Times New Roman"/>
          <w:b/>
          <w:sz w:val="32"/>
          <w:szCs w:val="24"/>
        </w:rPr>
      </w:pPr>
      <w:r>
        <w:rPr>
          <w:rFonts w:ascii="仿宋" w:hAnsi="仿宋" w:eastAsia="仿宋"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仿宋" w:hAnsi="仿宋" w:eastAsia="仿宋" w:cs="Times New Roman"/>
                <w:b/>
                <w:szCs w:val="24"/>
              </w:rPr>
            </w:pPr>
            <w:r>
              <w:rPr>
                <w:rFonts w:ascii="仿宋" w:hAnsi="仿宋" w:eastAsia="仿宋" w:cs="Times New Roman"/>
                <w:b/>
                <w:szCs w:val="24"/>
              </w:rPr>
              <w:t>单位名称</w:t>
            </w:r>
          </w:p>
        </w:tc>
        <w:tc>
          <w:tcPr>
            <w:tcW w:w="1134" w:type="dxa"/>
            <w:vMerge w:val="restart"/>
            <w:shd w:val="clear" w:color="auto" w:fill="auto"/>
            <w:vAlign w:val="center"/>
          </w:tcPr>
          <w:p>
            <w:pPr>
              <w:spacing w:line="584" w:lineRule="exact"/>
              <w:jc w:val="center"/>
              <w:rPr>
                <w:rFonts w:ascii="仿宋" w:hAnsi="仿宋" w:eastAsia="仿宋" w:cs="Times New Roman"/>
                <w:b/>
                <w:szCs w:val="24"/>
              </w:rPr>
            </w:pPr>
            <w:r>
              <w:rPr>
                <w:rFonts w:ascii="仿宋" w:hAnsi="仿宋" w:eastAsia="仿宋" w:cs="Times New Roman"/>
                <w:b/>
                <w:szCs w:val="24"/>
              </w:rPr>
              <w:t>单位性质</w:t>
            </w:r>
          </w:p>
        </w:tc>
        <w:tc>
          <w:tcPr>
            <w:tcW w:w="1276" w:type="dxa"/>
            <w:vMerge w:val="restart"/>
            <w:shd w:val="clear" w:color="auto" w:fill="auto"/>
            <w:vAlign w:val="center"/>
          </w:tcPr>
          <w:p>
            <w:pPr>
              <w:spacing w:line="584" w:lineRule="exact"/>
              <w:jc w:val="center"/>
              <w:rPr>
                <w:rFonts w:ascii="仿宋" w:hAnsi="仿宋" w:eastAsia="仿宋" w:cs="Times New Roman"/>
                <w:b/>
                <w:szCs w:val="24"/>
              </w:rPr>
            </w:pPr>
            <w:r>
              <w:rPr>
                <w:rFonts w:ascii="仿宋" w:hAnsi="仿宋" w:eastAsia="仿宋" w:cs="Times New Roman"/>
                <w:b/>
                <w:szCs w:val="24"/>
              </w:rPr>
              <w:t>单位规格</w:t>
            </w:r>
          </w:p>
        </w:tc>
        <w:tc>
          <w:tcPr>
            <w:tcW w:w="2902" w:type="dxa"/>
            <w:vMerge w:val="restart"/>
            <w:shd w:val="clear" w:color="auto" w:fill="auto"/>
            <w:vAlign w:val="center"/>
          </w:tcPr>
          <w:p>
            <w:pPr>
              <w:spacing w:line="584" w:lineRule="exact"/>
              <w:jc w:val="center"/>
              <w:rPr>
                <w:rFonts w:ascii="仿宋" w:hAnsi="仿宋" w:eastAsia="仿宋" w:cs="Times New Roman"/>
                <w:b/>
                <w:szCs w:val="24"/>
              </w:rPr>
            </w:pPr>
            <w:r>
              <w:rPr>
                <w:rFonts w:ascii="仿宋" w:hAnsi="仿宋" w:eastAsia="仿宋"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default"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b/>
                <w:lang w:val="en-US" w:eastAsia="zh-CN"/>
              </w:rPr>
              <w:t>大厂回族自治县人民检察院</w:t>
            </w:r>
          </w:p>
        </w:tc>
        <w:tc>
          <w:tcPr>
            <w:tcW w:w="1134" w:type="dxa"/>
            <w:shd w:val="clear" w:color="auto" w:fill="auto"/>
            <w:vAlign w:val="center"/>
          </w:tcPr>
          <w:p>
            <w:pPr>
              <w:spacing w:line="584" w:lineRule="exact"/>
              <w:jc w:val="center"/>
              <w:rPr>
                <w:rFonts w:hint="eastAsia"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b/>
                <w:lang w:val="en-US" w:eastAsia="zh-CN"/>
              </w:rPr>
              <w:t>行政</w:t>
            </w:r>
          </w:p>
        </w:tc>
        <w:tc>
          <w:tcPr>
            <w:tcW w:w="1276" w:type="dxa"/>
            <w:shd w:val="clear" w:color="auto" w:fill="auto"/>
            <w:vAlign w:val="center"/>
          </w:tcPr>
          <w:p>
            <w:pPr>
              <w:spacing w:line="584" w:lineRule="exact"/>
              <w:jc w:val="center"/>
              <w:rPr>
                <w:rFonts w:hint="eastAsia"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b/>
                <w:lang w:val="en-US" w:eastAsia="zh-CN"/>
              </w:rPr>
              <w:t>副处级</w:t>
            </w:r>
          </w:p>
        </w:tc>
        <w:tc>
          <w:tcPr>
            <w:tcW w:w="2902" w:type="dxa"/>
            <w:shd w:val="clear" w:color="auto" w:fill="auto"/>
            <w:vAlign w:val="center"/>
          </w:tcPr>
          <w:p>
            <w:pPr>
              <w:spacing w:line="584" w:lineRule="exact"/>
              <w:jc w:val="center"/>
              <w:rPr>
                <w:rFonts w:hint="eastAsia"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b/>
                <w:lang w:val="en-US" w:eastAsia="zh-CN"/>
              </w:rPr>
              <w:t>财政拨款</w:t>
            </w:r>
          </w:p>
        </w:tc>
      </w:tr>
    </w:tbl>
    <w:p>
      <w:pPr>
        <w:spacing w:line="584" w:lineRule="exact"/>
        <w:rPr>
          <w:rFonts w:ascii="Times New Roman" w:hAnsi="Times New Roman" w:eastAsia="仿宋" w:cs="Times New Roman"/>
          <w:color w:val="FF0000"/>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按照预算管理有关规定，目前我</w:t>
      </w:r>
      <w:r>
        <w:rPr>
          <w:rFonts w:hint="eastAsia" w:ascii="仿宋" w:hAnsi="仿宋" w:eastAsia="仿宋" w:cs="Times New Roman"/>
          <w:sz w:val="32"/>
          <w:szCs w:val="32"/>
        </w:rPr>
        <w:t>县</w:t>
      </w:r>
      <w:r>
        <w:rPr>
          <w:rFonts w:ascii="仿宋" w:hAnsi="仿宋" w:eastAsia="仿宋" w:cs="Times New Roman"/>
          <w:sz w:val="32"/>
          <w:szCs w:val="32"/>
        </w:rPr>
        <w:t>部门预算的编制实行综合预算制度，即全部收入和支出都反映在预算中。</w:t>
      </w:r>
      <w:r>
        <w:rPr>
          <w:rFonts w:hint="eastAsia" w:ascii="仿宋" w:hAnsi="仿宋" w:eastAsia="仿宋" w:cs="Times New Roman"/>
          <w:sz w:val="32"/>
          <w:szCs w:val="32"/>
        </w:rPr>
        <w:t>大厂回族自治县</w:t>
      </w:r>
      <w:r>
        <w:rPr>
          <w:rFonts w:hint="eastAsia" w:ascii="仿宋" w:hAnsi="仿宋" w:eastAsia="仿宋" w:cs="Times New Roman"/>
          <w:sz w:val="32"/>
          <w:szCs w:val="32"/>
          <w:lang w:val="en-US" w:eastAsia="zh-CN"/>
        </w:rPr>
        <w:t>检察院</w:t>
      </w:r>
      <w:r>
        <w:rPr>
          <w:rFonts w:ascii="仿宋" w:hAnsi="仿宋" w:eastAsia="仿宋" w:cs="Times New Roman"/>
          <w:sz w:val="32"/>
          <w:szCs w:val="32"/>
        </w:rPr>
        <w:t>的收支包含在部门预算中。</w:t>
      </w:r>
    </w:p>
    <w:p>
      <w:pPr>
        <w:spacing w:line="584" w:lineRule="exact"/>
        <w:ind w:firstLine="640"/>
        <w:rPr>
          <w:rFonts w:ascii="仿宋" w:hAnsi="仿宋" w:eastAsia="仿宋" w:cs="Times New Roman"/>
          <w:b/>
          <w:sz w:val="32"/>
          <w:szCs w:val="32"/>
        </w:rPr>
      </w:pPr>
      <w:r>
        <w:rPr>
          <w:rFonts w:ascii="仿宋" w:hAnsi="仿宋" w:eastAsia="仿宋" w:cs="Times New Roman"/>
          <w:b/>
          <w:sz w:val="32"/>
          <w:szCs w:val="32"/>
        </w:rPr>
        <w:t>1、收入说明</w:t>
      </w:r>
    </w:p>
    <w:p>
      <w:pPr>
        <w:spacing w:line="584" w:lineRule="exact"/>
        <w:ind w:firstLine="640"/>
        <w:rPr>
          <w:rFonts w:hint="eastAsia" w:ascii="仿宋" w:hAnsi="仿宋" w:eastAsia="仿宋" w:cs="Times New Roman"/>
          <w:sz w:val="32"/>
          <w:szCs w:val="32"/>
          <w:lang w:eastAsia="zh-CN"/>
        </w:rPr>
      </w:pPr>
      <w:r>
        <w:rPr>
          <w:rFonts w:ascii="仿宋" w:hAnsi="仿宋" w:eastAsia="仿宋" w:cs="Times New Roman"/>
          <w:sz w:val="32"/>
          <w:szCs w:val="32"/>
        </w:rPr>
        <w:t>反映本部门当年全部收入。20</w:t>
      </w:r>
      <w:r>
        <w:rPr>
          <w:rFonts w:hint="eastAsia" w:ascii="仿宋" w:hAnsi="仿宋" w:eastAsia="仿宋" w:cs="Times New Roman"/>
          <w:sz w:val="32"/>
          <w:szCs w:val="32"/>
        </w:rPr>
        <w:t>22</w:t>
      </w:r>
      <w:r>
        <w:rPr>
          <w:rFonts w:ascii="仿宋" w:hAnsi="仿宋" w:eastAsia="仿宋" w:cs="Times New Roman"/>
          <w:sz w:val="32"/>
          <w:szCs w:val="32"/>
        </w:rPr>
        <w:t>年预算收入</w:t>
      </w:r>
      <w:r>
        <w:rPr>
          <w:rFonts w:hint="eastAsia" w:ascii="仿宋" w:hAnsi="仿宋" w:eastAsia="仿宋" w:cs="Times New Roman"/>
          <w:sz w:val="32"/>
          <w:szCs w:val="32"/>
          <w:lang w:val="en-US" w:eastAsia="zh-CN"/>
        </w:rPr>
        <w:t>1414.39</w:t>
      </w:r>
      <w:r>
        <w:rPr>
          <w:rFonts w:ascii="仿宋" w:hAnsi="仿宋" w:eastAsia="仿宋" w:cs="Times New Roman"/>
          <w:sz w:val="32"/>
          <w:szCs w:val="32"/>
        </w:rPr>
        <w:t>万元，其中：一般公共预算收入</w:t>
      </w:r>
      <w:r>
        <w:rPr>
          <w:rFonts w:hint="eastAsia" w:ascii="仿宋" w:hAnsi="仿宋" w:eastAsia="仿宋" w:cs="Times New Roman"/>
          <w:sz w:val="32"/>
          <w:szCs w:val="32"/>
          <w:lang w:val="en-US" w:eastAsia="zh-CN"/>
        </w:rPr>
        <w:t>1414.39</w:t>
      </w:r>
      <w:r>
        <w:rPr>
          <w:rFonts w:ascii="仿宋" w:hAnsi="仿宋" w:eastAsia="仿宋" w:cs="Times New Roman"/>
          <w:sz w:val="32"/>
          <w:szCs w:val="32"/>
        </w:rPr>
        <w:t>万元，基金预算收入</w:t>
      </w:r>
      <w:r>
        <w:rPr>
          <w:rFonts w:hint="eastAsia" w:ascii="仿宋" w:hAnsi="仿宋" w:eastAsia="仿宋" w:cs="Times New Roman"/>
          <w:sz w:val="32"/>
          <w:szCs w:val="32"/>
          <w:lang w:val="en-US" w:eastAsia="zh-CN"/>
        </w:rPr>
        <w:t>0</w:t>
      </w:r>
      <w:r>
        <w:rPr>
          <w:rFonts w:ascii="仿宋" w:hAnsi="仿宋" w:eastAsia="仿宋" w:cs="Times New Roman"/>
          <w:sz w:val="32"/>
          <w:szCs w:val="32"/>
        </w:rPr>
        <w:t>万元，财政专户核拨收入</w:t>
      </w:r>
      <w:r>
        <w:rPr>
          <w:rFonts w:hint="eastAsia" w:ascii="仿宋" w:hAnsi="仿宋" w:eastAsia="仿宋" w:cs="Times New Roman"/>
          <w:sz w:val="32"/>
          <w:szCs w:val="32"/>
          <w:lang w:val="en-US" w:eastAsia="zh-CN"/>
        </w:rPr>
        <w:t>0</w:t>
      </w:r>
      <w:r>
        <w:rPr>
          <w:rFonts w:ascii="仿宋" w:hAnsi="仿宋" w:eastAsia="仿宋" w:cs="Times New Roman"/>
          <w:sz w:val="32"/>
          <w:szCs w:val="32"/>
        </w:rPr>
        <w:t>万元，其他来源收入</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上年结转</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万元</w:t>
      </w:r>
      <w:r>
        <w:rPr>
          <w:rFonts w:hint="eastAsia" w:ascii="仿宋" w:hAnsi="仿宋" w:eastAsia="仿宋" w:cs="Times New Roman"/>
          <w:sz w:val="32"/>
          <w:szCs w:val="32"/>
          <w:lang w:eastAsia="zh-CN"/>
        </w:rPr>
        <w:t>。</w:t>
      </w:r>
    </w:p>
    <w:p>
      <w:pPr>
        <w:spacing w:line="584" w:lineRule="exact"/>
        <w:ind w:firstLine="640"/>
        <w:rPr>
          <w:rFonts w:ascii="仿宋" w:hAnsi="仿宋" w:eastAsia="仿宋" w:cs="Times New Roman"/>
          <w:b/>
          <w:sz w:val="32"/>
          <w:szCs w:val="32"/>
        </w:rPr>
      </w:pPr>
      <w:r>
        <w:rPr>
          <w:rFonts w:ascii="仿宋" w:hAnsi="仿宋" w:eastAsia="仿宋" w:cs="Times New Roman"/>
          <w:b/>
          <w:sz w:val="32"/>
          <w:szCs w:val="32"/>
        </w:rPr>
        <w:t>2、支出说明</w:t>
      </w:r>
    </w:p>
    <w:p>
      <w:pPr>
        <w:spacing w:line="584" w:lineRule="exact"/>
        <w:ind w:firstLine="640"/>
        <w:rPr>
          <w:rFonts w:ascii="仿宋" w:hAnsi="仿宋" w:eastAsia="仿宋" w:cs="Times New Roman"/>
          <w:sz w:val="32"/>
          <w:szCs w:val="32"/>
        </w:rPr>
      </w:pPr>
      <w:r>
        <w:rPr>
          <w:rFonts w:ascii="仿宋" w:hAnsi="仿宋" w:eastAsia="仿宋" w:cs="Times New Roman"/>
          <w:sz w:val="32"/>
          <w:szCs w:val="32"/>
        </w:rPr>
        <w:t>收支预算总表支出栏、基本支出表、项目支出表按经济分类和支出功能分类科目编制，反映</w:t>
      </w:r>
      <w:r>
        <w:rPr>
          <w:rFonts w:hint="eastAsia" w:ascii="仿宋" w:hAnsi="仿宋" w:eastAsia="仿宋" w:cs="Times New Roman"/>
          <w:sz w:val="32"/>
          <w:szCs w:val="32"/>
        </w:rPr>
        <w:t>大厂回族自治县</w:t>
      </w:r>
      <w:r>
        <w:rPr>
          <w:rFonts w:hint="eastAsia" w:ascii="仿宋" w:hAnsi="仿宋" w:eastAsia="仿宋" w:cs="Times New Roman"/>
          <w:sz w:val="32"/>
          <w:szCs w:val="32"/>
          <w:lang w:val="en-US" w:eastAsia="zh-CN"/>
        </w:rPr>
        <w:t>人民检察院</w:t>
      </w:r>
      <w:r>
        <w:rPr>
          <w:rFonts w:ascii="仿宋" w:hAnsi="仿宋" w:eastAsia="仿宋" w:cs="Times New Roman"/>
          <w:sz w:val="32"/>
          <w:szCs w:val="32"/>
        </w:rPr>
        <w:t>年度部门预算中支出预算的总体情况。20</w:t>
      </w:r>
      <w:r>
        <w:rPr>
          <w:rFonts w:hint="eastAsia" w:ascii="仿宋" w:hAnsi="仿宋" w:eastAsia="仿宋" w:cs="Times New Roman"/>
          <w:sz w:val="32"/>
          <w:szCs w:val="32"/>
        </w:rPr>
        <w:t>22</w:t>
      </w:r>
      <w:r>
        <w:rPr>
          <w:rFonts w:ascii="仿宋" w:hAnsi="仿宋" w:eastAsia="仿宋" w:cs="Times New Roman"/>
          <w:sz w:val="32"/>
          <w:szCs w:val="32"/>
        </w:rPr>
        <w:t>年支出预算</w:t>
      </w:r>
      <w:r>
        <w:rPr>
          <w:rFonts w:hint="eastAsia" w:ascii="仿宋" w:hAnsi="仿宋" w:eastAsia="仿宋" w:cs="Times New Roman"/>
          <w:sz w:val="32"/>
          <w:szCs w:val="32"/>
          <w:lang w:val="en-US" w:eastAsia="zh-CN"/>
        </w:rPr>
        <w:t>1414.39</w:t>
      </w:r>
      <w:r>
        <w:rPr>
          <w:rFonts w:ascii="仿宋" w:hAnsi="仿宋" w:eastAsia="仿宋" w:cs="Times New Roman"/>
          <w:sz w:val="32"/>
          <w:szCs w:val="32"/>
        </w:rPr>
        <w:t>万元，其中基本支出919.39万元，包括人员类项目经费809.80万元和</w:t>
      </w:r>
      <w:r>
        <w:rPr>
          <w:rFonts w:hint="eastAsia" w:ascii="仿宋" w:hAnsi="仿宋" w:eastAsia="仿宋" w:cs="Times New Roman"/>
          <w:sz w:val="32"/>
          <w:szCs w:val="32"/>
        </w:rPr>
        <w:t>运转类</w:t>
      </w:r>
      <w:r>
        <w:rPr>
          <w:rFonts w:ascii="仿宋" w:hAnsi="仿宋" w:eastAsia="仿宋" w:cs="Times New Roman"/>
          <w:sz w:val="32"/>
          <w:szCs w:val="32"/>
        </w:rPr>
        <w:t>公用项目经费109.59万元；运转类其他及特定目标类项目支出495.00万元，包括本级支出，主要为</w:t>
      </w:r>
      <w:r>
        <w:rPr>
          <w:rFonts w:hint="eastAsia" w:ascii="仿宋" w:hAnsi="仿宋" w:eastAsia="仿宋" w:cs="Times New Roman"/>
          <w:sz w:val="32"/>
          <w:szCs w:val="32"/>
          <w:lang w:val="en-US" w:eastAsia="zh-CN"/>
        </w:rPr>
        <w:t>办案经费、业务装备购置、办公楼及附属设施维修</w:t>
      </w:r>
      <w:r>
        <w:rPr>
          <w:rFonts w:ascii="仿宋" w:hAnsi="仿宋" w:eastAsia="仿宋" w:cs="Times New Roman"/>
          <w:sz w:val="32"/>
          <w:szCs w:val="32"/>
        </w:rPr>
        <w:t>等；</w:t>
      </w:r>
    </w:p>
    <w:p>
      <w:pPr>
        <w:spacing w:line="584" w:lineRule="exact"/>
        <w:ind w:firstLine="640"/>
        <w:rPr>
          <w:rFonts w:ascii="仿宋" w:hAnsi="仿宋" w:eastAsia="仿宋" w:cs="Times New Roman"/>
          <w:b/>
          <w:sz w:val="32"/>
          <w:szCs w:val="32"/>
        </w:rPr>
      </w:pPr>
      <w:r>
        <w:rPr>
          <w:rFonts w:ascii="仿宋" w:hAnsi="仿宋" w:eastAsia="仿宋" w:cs="Times New Roman"/>
          <w:b/>
          <w:sz w:val="32"/>
          <w:szCs w:val="32"/>
        </w:rPr>
        <w:t>3、比上年增减情况</w:t>
      </w:r>
    </w:p>
    <w:p>
      <w:pPr>
        <w:spacing w:line="584" w:lineRule="exact"/>
        <w:ind w:firstLine="640"/>
        <w:rPr>
          <w:rFonts w:ascii="仿宋" w:hAnsi="仿宋" w:eastAsia="仿宋" w:cs="Times New Roman"/>
          <w:sz w:val="32"/>
          <w:szCs w:val="32"/>
        </w:rPr>
      </w:pPr>
      <w:r>
        <w:rPr>
          <w:rFonts w:ascii="仿宋" w:hAnsi="仿宋" w:eastAsia="仿宋" w:cs="Times New Roman"/>
          <w:sz w:val="32"/>
          <w:szCs w:val="32"/>
        </w:rPr>
        <w:t>20</w:t>
      </w:r>
      <w:r>
        <w:rPr>
          <w:rFonts w:hint="eastAsia" w:ascii="仿宋" w:hAnsi="仿宋" w:eastAsia="仿宋" w:cs="Times New Roman"/>
          <w:sz w:val="32"/>
          <w:szCs w:val="32"/>
        </w:rPr>
        <w:t>22</w:t>
      </w:r>
      <w:r>
        <w:rPr>
          <w:rFonts w:ascii="仿宋" w:hAnsi="仿宋" w:eastAsia="仿宋" w:cs="Times New Roman"/>
          <w:sz w:val="32"/>
          <w:szCs w:val="32"/>
        </w:rPr>
        <w:t>年预算收支安排</w:t>
      </w:r>
      <w:r>
        <w:rPr>
          <w:rFonts w:hint="eastAsia" w:ascii="仿宋" w:hAnsi="仿宋" w:eastAsia="仿宋" w:cs="Times New Roman"/>
          <w:sz w:val="32"/>
          <w:szCs w:val="32"/>
          <w:lang w:val="en-US" w:eastAsia="zh-CN"/>
        </w:rPr>
        <w:t>1414.39</w:t>
      </w:r>
      <w:r>
        <w:rPr>
          <w:rFonts w:ascii="仿宋" w:hAnsi="仿宋" w:eastAsia="仿宋" w:cs="Times New Roman"/>
          <w:sz w:val="32"/>
          <w:szCs w:val="32"/>
        </w:rPr>
        <w:t>万元，较20</w:t>
      </w:r>
      <w:r>
        <w:rPr>
          <w:rFonts w:hint="eastAsia" w:ascii="仿宋" w:hAnsi="仿宋" w:eastAsia="仿宋" w:cs="Times New Roman"/>
          <w:sz w:val="32"/>
          <w:szCs w:val="32"/>
        </w:rPr>
        <w:t>21</w:t>
      </w:r>
      <w:r>
        <w:rPr>
          <w:rFonts w:ascii="仿宋" w:hAnsi="仿宋" w:eastAsia="仿宋" w:cs="Times New Roman"/>
          <w:sz w:val="32"/>
          <w:szCs w:val="32"/>
        </w:rPr>
        <w:t>年预算减少</w:t>
      </w:r>
      <w:r>
        <w:rPr>
          <w:rFonts w:hint="eastAsia" w:ascii="仿宋" w:hAnsi="仿宋" w:eastAsia="仿宋" w:cs="Times New Roman"/>
          <w:sz w:val="32"/>
          <w:szCs w:val="32"/>
          <w:lang w:val="en-US" w:eastAsia="zh-CN"/>
        </w:rPr>
        <w:t>554.86</w:t>
      </w:r>
      <w:r>
        <w:rPr>
          <w:rFonts w:ascii="仿宋" w:hAnsi="仿宋" w:eastAsia="仿宋" w:cs="Times New Roman"/>
          <w:sz w:val="32"/>
          <w:szCs w:val="32"/>
        </w:rPr>
        <w:t>万元，其中：基本支出增加</w:t>
      </w:r>
      <w:r>
        <w:rPr>
          <w:rFonts w:hint="eastAsia" w:ascii="仿宋" w:hAnsi="仿宋" w:eastAsia="仿宋" w:cs="Times New Roman"/>
          <w:sz w:val="32"/>
          <w:szCs w:val="32"/>
          <w:lang w:val="en-US" w:eastAsia="zh-CN"/>
        </w:rPr>
        <w:t>4.17</w:t>
      </w:r>
      <w:r>
        <w:rPr>
          <w:rFonts w:ascii="仿宋" w:hAnsi="仿宋" w:eastAsia="仿宋" w:cs="Times New Roman"/>
          <w:sz w:val="32"/>
          <w:szCs w:val="32"/>
        </w:rPr>
        <w:t>万元，主要为</w:t>
      </w:r>
      <w:r>
        <w:rPr>
          <w:rFonts w:hint="eastAsia" w:ascii="仿宋" w:hAnsi="仿宋" w:eastAsia="仿宋" w:cs="Times New Roman"/>
          <w:sz w:val="32"/>
          <w:szCs w:val="32"/>
          <w:lang w:val="en-US" w:eastAsia="zh-CN"/>
        </w:rPr>
        <w:t>人员增加，工资及保险</w:t>
      </w:r>
      <w:r>
        <w:rPr>
          <w:rFonts w:ascii="仿宋" w:hAnsi="仿宋" w:eastAsia="仿宋" w:cs="Times New Roman"/>
          <w:sz w:val="32"/>
          <w:szCs w:val="32"/>
        </w:rPr>
        <w:t>支出；项目支出减少</w:t>
      </w:r>
      <w:r>
        <w:rPr>
          <w:rFonts w:hint="eastAsia" w:ascii="仿宋" w:hAnsi="仿宋" w:eastAsia="仿宋" w:cs="Times New Roman"/>
          <w:sz w:val="32"/>
          <w:szCs w:val="32"/>
          <w:lang w:val="en-US" w:eastAsia="zh-CN"/>
        </w:rPr>
        <w:t>559.03</w:t>
      </w:r>
      <w:r>
        <w:rPr>
          <w:rFonts w:ascii="仿宋" w:hAnsi="仿宋" w:eastAsia="仿宋" w:cs="Times New Roman"/>
          <w:sz w:val="32"/>
          <w:szCs w:val="32"/>
        </w:rPr>
        <w:t>万元，主要为</w:t>
      </w:r>
      <w:r>
        <w:rPr>
          <w:rFonts w:hint="eastAsia" w:ascii="仿宋" w:hAnsi="仿宋" w:eastAsia="仿宋" w:cs="Times New Roman"/>
          <w:sz w:val="32"/>
          <w:szCs w:val="32"/>
          <w:lang w:val="en-US" w:eastAsia="zh-CN"/>
        </w:rPr>
        <w:t>办公楼及附属设施维修加固工程</w:t>
      </w:r>
      <w:r>
        <w:rPr>
          <w:rFonts w:ascii="仿宋" w:hAnsi="仿宋" w:eastAsia="仿宋"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仿宋" w:hAnsi="仿宋" w:eastAsia="仿宋" w:cs="Times New Roman"/>
          <w:sz w:val="32"/>
          <w:szCs w:val="32"/>
        </w:rPr>
      </w:pPr>
      <w:r>
        <w:rPr>
          <w:rFonts w:ascii="仿宋" w:hAnsi="仿宋" w:eastAsia="仿宋" w:cs="Times New Roman"/>
          <w:sz w:val="32"/>
          <w:szCs w:val="32"/>
        </w:rPr>
        <w:t>20</w:t>
      </w:r>
      <w:r>
        <w:rPr>
          <w:rFonts w:hint="eastAsia" w:ascii="仿宋" w:hAnsi="仿宋" w:eastAsia="仿宋" w:cs="Times New Roman"/>
          <w:sz w:val="32"/>
          <w:szCs w:val="32"/>
        </w:rPr>
        <w:t>22</w:t>
      </w:r>
      <w:r>
        <w:rPr>
          <w:rFonts w:ascii="仿宋" w:hAnsi="仿宋" w:eastAsia="仿宋" w:cs="Times New Roman"/>
          <w:sz w:val="32"/>
          <w:szCs w:val="32"/>
        </w:rPr>
        <w:t>年，我</w:t>
      </w:r>
      <w:r>
        <w:rPr>
          <w:rFonts w:hint="eastAsia" w:ascii="仿宋" w:hAnsi="仿宋" w:eastAsia="仿宋" w:cs="Times New Roman"/>
          <w:sz w:val="32"/>
          <w:szCs w:val="32"/>
          <w:lang w:val="en-US" w:eastAsia="zh-CN"/>
        </w:rPr>
        <w:t>院</w:t>
      </w:r>
      <w:r>
        <w:rPr>
          <w:rFonts w:ascii="仿宋" w:hAnsi="仿宋" w:eastAsia="仿宋" w:cs="Times New Roman"/>
          <w:sz w:val="32"/>
          <w:szCs w:val="32"/>
        </w:rPr>
        <w:t>机关运行经费共计安排</w:t>
      </w:r>
      <w:r>
        <w:rPr>
          <w:rFonts w:hint="eastAsia" w:ascii="仿宋" w:hAnsi="仿宋" w:eastAsia="仿宋" w:cs="Times New Roman"/>
          <w:sz w:val="32"/>
          <w:szCs w:val="32"/>
          <w:lang w:val="en-US" w:eastAsia="zh-CN"/>
        </w:rPr>
        <w:t>109.59</w:t>
      </w:r>
      <w:r>
        <w:rPr>
          <w:rFonts w:ascii="仿宋" w:hAnsi="仿宋" w:eastAsia="仿宋" w:cs="Times New Roman"/>
          <w:sz w:val="32"/>
          <w:szCs w:val="32"/>
        </w:rPr>
        <w:t>万元，主要用于</w:t>
      </w:r>
      <w:r>
        <w:rPr>
          <w:rFonts w:hint="eastAsia" w:ascii="仿宋" w:hAnsi="仿宋" w:eastAsia="仿宋" w:cs="Times New Roman"/>
          <w:sz w:val="32"/>
          <w:szCs w:val="32"/>
          <w:lang w:val="en-US" w:eastAsia="zh-CN"/>
        </w:rPr>
        <w:t>检察院</w:t>
      </w:r>
      <w:r>
        <w:rPr>
          <w:rFonts w:ascii="仿宋" w:hAnsi="仿宋" w:eastAsia="仿宋"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707" w:firstLineChars="221"/>
        <w:jc w:val="left"/>
        <w:rPr>
          <w:rFonts w:ascii="黑体" w:hAnsi="黑体" w:eastAsia="黑体" w:cs="Times New Roman"/>
          <w:sz w:val="32"/>
          <w:szCs w:val="32"/>
        </w:rPr>
      </w:pPr>
      <w:r>
        <w:rPr>
          <w:rFonts w:hint="eastAsia" w:ascii="黑体" w:hAnsi="黑体" w:eastAsia="黑体" w:cs="Times New Roman"/>
          <w:sz w:val="32"/>
          <w:szCs w:val="32"/>
        </w:rPr>
        <w:t xml:space="preserve"> </w:t>
      </w:r>
      <w:r>
        <w:rPr>
          <w:rFonts w:ascii="黑体" w:hAnsi="黑体"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仿宋" w:hAnsi="仿宋" w:eastAsia="仿宋" w:cs="Times New Roman"/>
          <w:sz w:val="32"/>
          <w:szCs w:val="32"/>
        </w:rPr>
      </w:pPr>
      <w:r>
        <w:rPr>
          <w:rFonts w:ascii="仿宋" w:hAnsi="仿宋" w:eastAsia="仿宋" w:cs="Times New Roman"/>
          <w:sz w:val="32"/>
          <w:szCs w:val="32"/>
        </w:rPr>
        <w:t>20</w:t>
      </w:r>
      <w:r>
        <w:rPr>
          <w:rFonts w:hint="eastAsia" w:ascii="仿宋" w:hAnsi="仿宋" w:eastAsia="仿宋" w:cs="Times New Roman"/>
          <w:sz w:val="32"/>
          <w:szCs w:val="32"/>
        </w:rPr>
        <w:t>22</w:t>
      </w:r>
      <w:r>
        <w:rPr>
          <w:rFonts w:ascii="仿宋" w:hAnsi="仿宋" w:eastAsia="仿宋" w:cs="Times New Roman"/>
          <w:sz w:val="32"/>
          <w:szCs w:val="32"/>
        </w:rPr>
        <w:t>年，我局财政拨款“三公”经费预算安排21.42万元</w:t>
      </w:r>
      <w:r>
        <w:rPr>
          <w:rFonts w:hint="eastAsia" w:ascii="仿宋" w:hAnsi="仿宋" w:eastAsia="仿宋" w:cs="Times New Roman"/>
          <w:sz w:val="32"/>
          <w:szCs w:val="32"/>
        </w:rPr>
        <w:t>。</w:t>
      </w:r>
      <w:r>
        <w:rPr>
          <w:rFonts w:ascii="仿宋" w:hAnsi="仿宋" w:eastAsia="仿宋" w:cs="Times New Roman"/>
          <w:sz w:val="32"/>
          <w:szCs w:val="32"/>
        </w:rPr>
        <w:t>其中</w:t>
      </w:r>
      <w:r>
        <w:rPr>
          <w:rFonts w:hint="eastAsia" w:ascii="仿宋" w:hAnsi="仿宋" w:eastAsia="仿宋" w:cs="Times New Roman"/>
          <w:sz w:val="32"/>
          <w:szCs w:val="32"/>
        </w:rPr>
        <w:t>，</w:t>
      </w:r>
      <w:r>
        <w:rPr>
          <w:rFonts w:ascii="仿宋" w:hAnsi="仿宋" w:eastAsia="仿宋" w:cs="Times New Roman"/>
          <w:sz w:val="32"/>
          <w:szCs w:val="32"/>
        </w:rPr>
        <w:t>因公出国（境）费</w:t>
      </w:r>
      <w:r>
        <w:rPr>
          <w:rFonts w:hint="eastAsia" w:ascii="仿宋" w:hAnsi="仿宋" w:eastAsia="仿宋" w:cs="Times New Roman"/>
          <w:sz w:val="32"/>
          <w:szCs w:val="32"/>
          <w:lang w:val="en-US" w:eastAsia="zh-CN"/>
        </w:rPr>
        <w:t>0</w:t>
      </w:r>
      <w:r>
        <w:rPr>
          <w:rFonts w:ascii="仿宋" w:hAnsi="仿宋" w:eastAsia="仿宋" w:cs="Times New Roman"/>
          <w:sz w:val="32"/>
          <w:szCs w:val="32"/>
        </w:rPr>
        <w:t>万元；公务用车购置及运维费</w:t>
      </w:r>
      <w:r>
        <w:rPr>
          <w:rFonts w:hint="eastAsia" w:ascii="仿宋" w:hAnsi="仿宋" w:eastAsia="仿宋" w:cs="Times New Roman"/>
          <w:sz w:val="32"/>
          <w:szCs w:val="32"/>
          <w:lang w:val="en-US" w:eastAsia="zh-CN"/>
        </w:rPr>
        <w:t>21</w:t>
      </w:r>
      <w:r>
        <w:rPr>
          <w:rFonts w:ascii="仿宋" w:hAnsi="仿宋" w:eastAsia="仿宋" w:cs="Times New Roman"/>
          <w:sz w:val="32"/>
          <w:szCs w:val="32"/>
        </w:rPr>
        <w:t>万元（其中：公务用车购置费为</w:t>
      </w:r>
      <w:r>
        <w:rPr>
          <w:rFonts w:hint="eastAsia" w:ascii="仿宋" w:hAnsi="仿宋" w:eastAsia="仿宋" w:cs="Times New Roman"/>
          <w:sz w:val="32"/>
          <w:szCs w:val="32"/>
          <w:lang w:val="en-US" w:eastAsia="zh-CN"/>
        </w:rPr>
        <w:t>0</w:t>
      </w:r>
      <w:r>
        <w:rPr>
          <w:rFonts w:ascii="仿宋" w:hAnsi="仿宋" w:eastAsia="仿宋" w:cs="Times New Roman"/>
          <w:sz w:val="32"/>
          <w:szCs w:val="32"/>
        </w:rPr>
        <w:t>万元，公务用车运维费</w:t>
      </w:r>
      <w:r>
        <w:rPr>
          <w:rFonts w:hint="eastAsia" w:ascii="仿宋" w:hAnsi="仿宋" w:eastAsia="仿宋" w:cs="Times New Roman"/>
          <w:sz w:val="32"/>
          <w:szCs w:val="32"/>
          <w:lang w:val="en-US" w:eastAsia="zh-CN"/>
        </w:rPr>
        <w:t>21</w:t>
      </w:r>
      <w:r>
        <w:rPr>
          <w:rFonts w:ascii="仿宋" w:hAnsi="仿宋" w:eastAsia="仿宋" w:cs="Times New Roman"/>
          <w:sz w:val="32"/>
          <w:szCs w:val="32"/>
        </w:rPr>
        <w:t>万元)；公务接待费</w:t>
      </w:r>
      <w:r>
        <w:rPr>
          <w:rFonts w:hint="eastAsia" w:ascii="仿宋" w:hAnsi="仿宋" w:eastAsia="仿宋" w:cs="Times New Roman"/>
          <w:sz w:val="32"/>
          <w:szCs w:val="32"/>
          <w:lang w:val="en-US" w:eastAsia="zh-CN"/>
        </w:rPr>
        <w:t>0.42</w:t>
      </w:r>
      <w:r>
        <w:rPr>
          <w:rFonts w:ascii="仿宋" w:hAnsi="仿宋" w:eastAsia="仿宋" w:cs="Times New Roman"/>
          <w:sz w:val="32"/>
          <w:szCs w:val="32"/>
        </w:rPr>
        <w:t>万元。与20</w:t>
      </w:r>
      <w:r>
        <w:rPr>
          <w:rFonts w:hint="eastAsia" w:ascii="仿宋" w:hAnsi="仿宋" w:eastAsia="仿宋" w:cs="Times New Roman"/>
          <w:sz w:val="32"/>
          <w:szCs w:val="32"/>
        </w:rPr>
        <w:t>21</w:t>
      </w:r>
      <w:r>
        <w:rPr>
          <w:rFonts w:ascii="仿宋" w:hAnsi="仿宋" w:eastAsia="仿宋" w:cs="Times New Roman"/>
          <w:sz w:val="32"/>
          <w:szCs w:val="32"/>
        </w:rPr>
        <w:t>年</w:t>
      </w:r>
      <w:r>
        <w:rPr>
          <w:rFonts w:hint="eastAsia" w:ascii="仿宋" w:hAnsi="仿宋" w:eastAsia="仿宋" w:cs="Times New Roman"/>
          <w:sz w:val="32"/>
          <w:szCs w:val="32"/>
        </w:rPr>
        <w:t>相比</w:t>
      </w:r>
      <w:r>
        <w:rPr>
          <w:rFonts w:ascii="仿宋" w:hAnsi="仿宋" w:eastAsia="仿宋" w:cs="Times New Roman"/>
          <w:sz w:val="32"/>
          <w:szCs w:val="32"/>
        </w:rPr>
        <w:t>减</w:t>
      </w:r>
      <w:r>
        <w:rPr>
          <w:rFonts w:hint="eastAsia" w:ascii="仿宋" w:hAnsi="仿宋" w:eastAsia="仿宋" w:cs="Times New Roman"/>
          <w:sz w:val="32"/>
          <w:szCs w:val="32"/>
        </w:rPr>
        <w:t>少</w:t>
      </w:r>
      <w:r>
        <w:rPr>
          <w:rFonts w:hint="eastAsia" w:ascii="仿宋" w:hAnsi="仿宋" w:eastAsia="仿宋" w:cs="Times New Roman"/>
          <w:sz w:val="32"/>
          <w:szCs w:val="32"/>
          <w:lang w:val="en-US" w:eastAsia="zh-CN"/>
        </w:rPr>
        <w:t>5.5</w:t>
      </w:r>
      <w:r>
        <w:rPr>
          <w:rFonts w:ascii="仿宋" w:hAnsi="仿宋" w:eastAsia="仿宋" w:cs="Times New Roman"/>
          <w:sz w:val="32"/>
          <w:szCs w:val="32"/>
        </w:rPr>
        <w:t>万元，</w:t>
      </w:r>
      <w:r>
        <w:rPr>
          <w:rFonts w:hint="eastAsia" w:ascii="仿宋" w:hAnsi="仿宋" w:eastAsia="仿宋" w:cs="Times New Roman"/>
          <w:sz w:val="32"/>
          <w:szCs w:val="32"/>
        </w:rPr>
        <w:t>其中，</w:t>
      </w:r>
      <w:r>
        <w:rPr>
          <w:rFonts w:ascii="仿宋" w:hAnsi="仿宋" w:eastAsia="仿宋" w:cs="Times New Roman"/>
          <w:sz w:val="32"/>
          <w:szCs w:val="32"/>
        </w:rPr>
        <w:t>公务用车购置及运维费减</w:t>
      </w:r>
      <w:r>
        <w:rPr>
          <w:rFonts w:hint="eastAsia" w:ascii="仿宋" w:hAnsi="仿宋" w:eastAsia="仿宋" w:cs="Times New Roman"/>
          <w:sz w:val="32"/>
          <w:szCs w:val="32"/>
        </w:rPr>
        <w:t>少</w:t>
      </w:r>
      <w:r>
        <w:rPr>
          <w:rFonts w:hint="eastAsia" w:ascii="仿宋" w:hAnsi="仿宋" w:eastAsia="仿宋" w:cs="Times New Roman"/>
          <w:sz w:val="32"/>
          <w:szCs w:val="32"/>
          <w:lang w:val="en-US" w:eastAsia="zh-CN"/>
        </w:rPr>
        <w:t>5.5</w:t>
      </w:r>
      <w:r>
        <w:rPr>
          <w:rFonts w:ascii="仿宋" w:hAnsi="仿宋" w:eastAsia="仿宋" w:cs="Times New Roman"/>
          <w:sz w:val="32"/>
          <w:szCs w:val="32"/>
        </w:rPr>
        <w:t>万元（其中：公务用车购置费</w:t>
      </w:r>
      <w:r>
        <w:rPr>
          <w:rFonts w:hint="eastAsia" w:ascii="仿宋" w:hAnsi="仿宋" w:eastAsia="仿宋" w:cs="Times New Roman"/>
          <w:sz w:val="32"/>
          <w:szCs w:val="32"/>
          <w:lang w:val="en-US" w:eastAsia="zh-CN"/>
        </w:rPr>
        <w:t>0</w:t>
      </w:r>
      <w:r>
        <w:rPr>
          <w:rFonts w:ascii="仿宋" w:hAnsi="仿宋" w:eastAsia="仿宋" w:cs="Times New Roman"/>
          <w:sz w:val="32"/>
          <w:szCs w:val="32"/>
        </w:rPr>
        <w:t>万元，公务用车运维费减</w:t>
      </w:r>
      <w:r>
        <w:rPr>
          <w:rFonts w:hint="eastAsia" w:ascii="仿宋" w:hAnsi="仿宋" w:eastAsia="仿宋" w:cs="Times New Roman"/>
          <w:sz w:val="32"/>
          <w:szCs w:val="32"/>
        </w:rPr>
        <w:t>少</w:t>
      </w:r>
      <w:r>
        <w:rPr>
          <w:rFonts w:hint="eastAsia" w:ascii="仿宋" w:hAnsi="仿宋" w:eastAsia="仿宋" w:cs="Times New Roman"/>
          <w:sz w:val="32"/>
          <w:szCs w:val="32"/>
          <w:lang w:val="en-US" w:eastAsia="zh-CN"/>
        </w:rPr>
        <w:t>5.5</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主要原因是</w:t>
      </w:r>
      <w:r>
        <w:rPr>
          <w:rFonts w:hint="eastAsia" w:ascii="仿宋" w:hAnsi="仿宋" w:eastAsia="仿宋" w:cs="Times New Roman"/>
          <w:sz w:val="32"/>
          <w:szCs w:val="32"/>
        </w:rPr>
        <w:t>我部门切实落实勤俭节约各项规定，压减公车运行经费支出</w:t>
      </w:r>
      <w:r>
        <w:rPr>
          <w:rFonts w:ascii="仿宋" w:hAnsi="仿宋" w:eastAsia="仿宋" w:cs="Times New Roman"/>
          <w:sz w:val="32"/>
          <w:szCs w:val="32"/>
        </w:rPr>
        <w:t>；公务接待费</w:t>
      </w:r>
      <w:r>
        <w:rPr>
          <w:rFonts w:hint="eastAsia" w:ascii="仿宋" w:hAnsi="仿宋" w:eastAsia="仿宋" w:cs="Times New Roman"/>
          <w:sz w:val="32"/>
          <w:szCs w:val="32"/>
          <w:lang w:val="en-US" w:eastAsia="zh-CN"/>
        </w:rPr>
        <w:t>0.42</w:t>
      </w:r>
      <w:r>
        <w:rPr>
          <w:rFonts w:ascii="仿宋" w:hAnsi="仿宋" w:eastAsia="仿宋" w:cs="Times New Roman"/>
          <w:sz w:val="32"/>
          <w:szCs w:val="32"/>
        </w:rPr>
        <w:t>万元</w:t>
      </w:r>
      <w:r>
        <w:rPr>
          <w:rFonts w:hint="eastAsia" w:ascii="仿宋" w:hAnsi="仿宋" w:eastAsia="仿宋" w:cs="Times New Roman"/>
          <w:sz w:val="32"/>
          <w:szCs w:val="32"/>
          <w:lang w:eastAsia="zh-CN"/>
        </w:rPr>
        <w:t>，</w:t>
      </w:r>
      <w:r>
        <w:rPr>
          <w:rFonts w:ascii="仿宋" w:hAnsi="仿宋" w:eastAsia="仿宋" w:cs="Times New Roman"/>
          <w:sz w:val="32"/>
          <w:szCs w:val="32"/>
        </w:rPr>
        <w:t>与20</w:t>
      </w:r>
      <w:r>
        <w:rPr>
          <w:rFonts w:hint="eastAsia" w:ascii="仿宋" w:hAnsi="仿宋" w:eastAsia="仿宋" w:cs="Times New Roman"/>
          <w:sz w:val="32"/>
          <w:szCs w:val="32"/>
        </w:rPr>
        <w:t>21</w:t>
      </w:r>
      <w:r>
        <w:rPr>
          <w:rFonts w:ascii="仿宋" w:hAnsi="仿宋" w:eastAsia="仿宋" w:cs="Times New Roman"/>
          <w:sz w:val="32"/>
          <w:szCs w:val="32"/>
        </w:rPr>
        <w:t>年相比持平，无增减变化。</w:t>
      </w:r>
    </w:p>
    <w:p>
      <w:pPr>
        <w:numPr>
          <w:ilvl w:val="0"/>
          <w:numId w:val="1"/>
        </w:num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绩效预算信息</w:t>
      </w:r>
    </w:p>
    <w:p>
      <w:pPr>
        <w:numPr>
          <w:ilvl w:val="0"/>
          <w:numId w:val="0"/>
        </w:num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（一）总体绩效目标</w:t>
      </w:r>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12"/>
        <w:ind w:left="0" w:leftChars="0" w:firstLine="640" w:firstLineChars="200"/>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2022年，检察机关将以习近平新时代中国特色社会主义思想为指导，认真学习贯彻中央，省市委和上级院决策部署，坚持围绕中心、服务大局，全面履行检察职能，强化队伍建设，努力推动全市检察工作全面协同跨越发展，为加快建设新时代经济强市、美丽大厂作出更大贡献。一是更加精准服务全县工作大局。坚定不移聚焦大局服务大局保障大局，找准检察工作服务大局的切入点，落细落实工作举措，充分发挥检察机关法律监督职能作用。刑事案件办理数达到300件以上，出庭意见被采纳案件占全部案件比例高于80%。二是全力维护社会和谐稳定。严厉打击各类严重刑事犯罪，继续深入开展扫黑除恶专项斗争，深化检察环节社会综合治理，深入推进社会矛盾排查化解，震慑犯罪，减少刑事案件发案率，群众满意度达到90%以上。三是抓实抓好“四大检察”监督职责履行。坚持以办案为中心，进一步做好刑事检察、做强民事检察、做实行政检察、做优公益诉讼工作。打击犯罪、保障人权、维护司法公正，推动检察工作全面协调充分发展。坚持监督与办案并重，规范行使抗诉、检察建议、纠正违法、调查核实、查办司法工作人员职务犯罪等职权，努力实现精准有力监督，使工作考核优秀率和群众满意度全市领先。四是进一步加强检察机关自身建设。扎实开展检察业务素能培训，提高人员整体素质，坚持严管与厚爱相结合，持之以恒推进全面从严治党、从严治检。</w:t>
      </w:r>
    </w:p>
    <w:p>
      <w:pPr>
        <w:spacing w:line="584"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（二）分项绩效目标</w:t>
      </w:r>
    </w:p>
    <w:p>
      <w:pPr>
        <w:pStyle w:val="13"/>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（一）侦查监督</w:t>
      </w:r>
    </w:p>
    <w:p>
      <w:pPr>
        <w:pStyle w:val="13"/>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绩效目标：通过行使检察权，对刑事案件进行审查逮捕、立案监督，同时对侦查活动进行监督，从而打击犯罪、保障人权、维护司法公正。</w:t>
      </w:r>
    </w:p>
    <w:p>
      <w:pPr>
        <w:pStyle w:val="13"/>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绩效指标：错捕、捕后撤案、不起诉、判无罪率低于1%；批延准确率达到100%；立案和侦查活动监督完成率达到100%。</w:t>
      </w:r>
    </w:p>
    <w:p>
      <w:pPr>
        <w:pStyle w:val="13"/>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（二）公诉和审判监督</w:t>
      </w:r>
    </w:p>
    <w:p>
      <w:pPr>
        <w:pStyle w:val="13"/>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绩效目标：全面审查案件事实，核实证据，依法提出审查意见，惩治犯罪，保障涉案人合法权益，维护司法公正。</w:t>
      </w:r>
    </w:p>
    <w:p>
      <w:pPr>
        <w:pStyle w:val="13"/>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绩效指标：办理案件数达到300件以上；出庭意见法院采纳率达到80%以上；诉讼期限内审结案件占全部案件比例达到98%。</w:t>
      </w:r>
    </w:p>
    <w:p>
      <w:pPr>
        <w:pStyle w:val="13"/>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（三）民事行政诉讼监督</w:t>
      </w:r>
    </w:p>
    <w:p>
      <w:pPr>
        <w:pStyle w:val="13"/>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绩效目标：通过行使检察权，对民事案件与行政案件进行审查，并依法提出抗诉，保障和维护公民合法权益，化解社会矛盾。</w:t>
      </w:r>
    </w:p>
    <w:p>
      <w:pPr>
        <w:pStyle w:val="13"/>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绩效指标：民事案件抗诉案件再审改变率不低于70%；当事人对民事行政申请监督案件满意度达到80%；不支持监督申请决定息讼息访率不低于50%；检察建议采纳率达到80%。</w:t>
      </w:r>
    </w:p>
    <w:p>
      <w:pPr>
        <w:pStyle w:val="13"/>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（四）刑事执行检察</w:t>
      </w:r>
    </w:p>
    <w:p>
      <w:pPr>
        <w:pStyle w:val="13"/>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绩效目标：对辖区看守所和社会矫正机构进行一次集中巡查，重点对刑事判决、裁定执行、强制医疗执行、羁押和办案期限进行监督检查，对羁押必要性进行审查，保障刑罚执行和刑事执行活动的依法有序进行。</w:t>
      </w:r>
    </w:p>
    <w:p>
      <w:pPr>
        <w:pStyle w:val="13"/>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绩效指标：按照市院要求建设一级规范化监察室1个；监督行为及效果，被执行人及相关当事人、办案机关、社会各界对监督行为及效果的满意程度达到95%以上；纠正意见或建议的采纳率达到90%以上。</w:t>
      </w:r>
    </w:p>
    <w:p>
      <w:pPr>
        <w:pStyle w:val="13"/>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（五）未成年人刑事检察</w:t>
      </w:r>
    </w:p>
    <w:p>
      <w:pPr>
        <w:pStyle w:val="13"/>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绩效目标：保障未成年人合法权益，减少未成年人刑事案件发案数，使我县未成年人检察工作在全市检察机关位列前茅。</w:t>
      </w:r>
    </w:p>
    <w:p>
      <w:pPr>
        <w:pStyle w:val="13"/>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绩效指标：针对中小学每季度至少开展一次法律讲课，提高未成年人法律意识和自我保护能力。未成年人刑事案件指导率达到95%以上；未成年人刑事案件办理达到受理案件的90%；附条件不起诉案件占受理未成年刑事案件数高于10%；案件办结率达到全年受理案件的80%；涉案未成年人实施心理疏导、亲情会见、庭审教育、不起诉宣布教育、案后帮扶等特殊检察制度占全部受理案件的比例不低于70%；不捕、不诉率高于40%。</w:t>
      </w:r>
    </w:p>
    <w:p>
      <w:pPr>
        <w:pStyle w:val="13"/>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（六）司法辅助</w:t>
      </w:r>
    </w:p>
    <w:p>
      <w:pPr>
        <w:pStyle w:val="13"/>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绩效目标：加强各项检察辅助职能，促进“四大检察”业务工作，为检察业务提供有力保障。</w:t>
      </w:r>
    </w:p>
    <w:p>
      <w:pPr>
        <w:pStyle w:val="13"/>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绩效指标：法警装备购置率；出警次数。</w:t>
      </w:r>
    </w:p>
    <w:p>
      <w:pPr>
        <w:pStyle w:val="13"/>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（七）检察公益诉讼</w:t>
      </w:r>
    </w:p>
    <w:p>
      <w:pPr>
        <w:pStyle w:val="13"/>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绩效目标：办理破坏生态环境和资源保护、食品药品安全领域侵害众多消费者合法权益等损害社会公共利益的民事公益诉讼案件，充分发挥检察机关法律监督职能作用，促进依法行政、严格执法，维护宪法法律权威，维护社会公平正义，维护国家和社会公共利益。</w:t>
      </w:r>
    </w:p>
    <w:p>
      <w:pPr>
        <w:pStyle w:val="13"/>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绩效指标：开展检察公益诉讼法律宣传次数4次；2022年立案数比2021年增长15%；同比上年度诉前检察建议提出增长15%；同比上年度提起诉讼情况增长15%。</w:t>
      </w:r>
    </w:p>
    <w:p>
      <w:pPr>
        <w:pStyle w:val="13"/>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（八）涉检信访办理</w:t>
      </w:r>
    </w:p>
    <w:p>
      <w:pPr>
        <w:pStyle w:val="13"/>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绩效目标：构建依法有序信访秩序，及时依法解决群众诉求，化解社会矛盾。</w:t>
      </w:r>
    </w:p>
    <w:p>
      <w:pPr>
        <w:pStyle w:val="13"/>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绩效指标：法定期限内办结率达到90%；有效化解涉检信访矛盾率达到90%；错案率低于5%。</w:t>
      </w:r>
    </w:p>
    <w:p>
      <w:pPr>
        <w:pStyle w:val="13"/>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（九）举报管理、刑事申诉及涉检国家赔偿和司法救助</w:t>
      </w:r>
    </w:p>
    <w:p>
      <w:pPr>
        <w:pStyle w:val="13"/>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绩效目标：加强和改进举报工作，保护申诉人合法权益，保护被赔偿人和被救助人合法权益。</w:t>
      </w:r>
    </w:p>
    <w:p>
      <w:pPr>
        <w:pStyle w:val="13"/>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绩效指标：举报线索处置率达到100%；司法救助率90%；刑事申诉案件结案率90%；涉检国家赔偿率90%；涉检国家赔偿和刑事申诉案件错案率低于5%；法定期限内办结率达到100%；举报移送立案率不低于50%。</w:t>
      </w:r>
    </w:p>
    <w:p>
      <w:pPr>
        <w:pStyle w:val="13"/>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（十）综合业务管理</w:t>
      </w:r>
    </w:p>
    <w:p>
      <w:pPr>
        <w:pStyle w:val="13"/>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绩效目标：提高执法水平和办案质量、提升检察机关法律监督能力。</w:t>
      </w:r>
    </w:p>
    <w:p>
      <w:pPr>
        <w:pStyle w:val="13"/>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绩效指标：发挥工作职能，各项综合业务管理工作在6月完成全年工作的60%，10月完成全年工作的90%。</w:t>
      </w:r>
    </w:p>
    <w:p>
      <w:pPr>
        <w:pStyle w:val="13"/>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（十一）综合事务管理</w:t>
      </w:r>
    </w:p>
    <w:p>
      <w:pPr>
        <w:pStyle w:val="13"/>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绩效目标：为检察工作顺利开展提供保障。</w:t>
      </w:r>
    </w:p>
    <w:p>
      <w:pPr>
        <w:pStyle w:val="13"/>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绩效指标：发挥工作职能，各项综合事务管理工作在6月完成全年工作的60%，10月完成全年工作的90%。</w:t>
      </w:r>
    </w:p>
    <w:p>
      <w:pPr>
        <w:spacing w:line="584"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（三）工作保障措施</w:t>
      </w:r>
    </w:p>
    <w:p>
      <w:pPr>
        <w:pStyle w:val="14"/>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一)、加强思想教育。进一步强化理论武装。深刻学习和领会习近平中国特色社会主义思想的精神实质和丰富内涵，不断改进学习方法，注重联系实际学、围绕工作学、盯着问题学、融会贯通学，并用以指导实践，推动工作。要始终把讲政治作为根本要求，牢固树立“四个意识”，强化“四个自信”，自觉践行“两个维护”，不折不扣地执行党中央的决策部署。在实际工作中，要切实提高政治站位，做到观察分析形势把握好政治因素、谋划推动工作把握好政治要求、处理问题防范好政治风险，自觉在思想上政治上行动上同以习近平同志为核心的党中央保持高度一致。</w:t>
      </w:r>
    </w:p>
    <w:p>
      <w:pPr>
        <w:pStyle w:val="14"/>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二)、加快重点工作进度。深入开展扫黑除恶专项斗争，坚持对涉黑涉恶案件提前介入，加快办案节奏，加强对涉黑涉恶案件的立案监督、侦查活动监督、审判活动监督，认真落实“一案三查”要求，推动“扫黑”和“打伞”同步进行。加大公益诉讼工作力度，以办理生态环境和资源保护、食品药品安全、国有土地使用权出让等领域案件为重点，持续加大公益诉讼办案力度。依法履行服务大局职能，细化硬化各项举措。积极推进平安廊坊建设，注重参与社会治理，发挥12309检察服务中心职勇，着力提升服务群众的质量和效果，提高群众满意度。。</w:t>
      </w:r>
    </w:p>
    <w:p>
      <w:pPr>
        <w:pStyle w:val="14"/>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(三)、完善制度建设。制定完善预算绩效管理制度、资金管理办法、工作保障制度等，为全年预算绩效目标的实现奠定制度基础。</w:t>
      </w:r>
    </w:p>
    <w:p>
      <w:pPr>
        <w:pStyle w:val="14"/>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(四)、加强支出管理。通过优化支出结构、编细编实预算、加快履行政府采购手续、尽快启动项目、及时支付资金等多种措施，确保在6月底前支出进度达标。</w:t>
      </w:r>
    </w:p>
    <w:p>
      <w:pPr>
        <w:pStyle w:val="14"/>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(五)、加强绩效运行监控。按要求开展绩效运行监控、发现问题及时采取措施，确保绩效目标如期保质实现。</w:t>
      </w:r>
    </w:p>
    <w:p>
      <w:pPr>
        <w:pStyle w:val="14"/>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(六)、做好绩效自评。按要求开展上年度部门预算绩效自评和重点评价工作，对评价中发现的问题及时整改，调整优化支出结构，提高财政资金使用效益。</w:t>
      </w:r>
    </w:p>
    <w:p>
      <w:pPr>
        <w:pStyle w:val="14"/>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(七)、规范财务资产管理。完善财务管理制度，严格审批程序，加强固定资产登记、使用和报废处置管理，做到支出合理，物尽其用。</w:t>
      </w:r>
    </w:p>
    <w:p>
      <w:pPr>
        <w:pStyle w:val="14"/>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八)、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14"/>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九)、加强宣传培训调研等。加强人员培训，调高本部门职工业务素质；加强调研，提出优化财政资金配置、提高资金使用效益的意见；加大宣传力度，强化预算绩效整理意识，促进预算绩效管理水平进一步提升。</w:t>
      </w:r>
    </w:p>
    <w:p>
      <w:pPr>
        <w:spacing w:line="584"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（四）部门整体支出绩效指标</w:t>
      </w:r>
    </w:p>
    <w:tbl>
      <w:tblPr>
        <w:tblStyle w:val="8"/>
        <w:tblW w:w="92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635"/>
        <w:gridCol w:w="1493"/>
        <w:gridCol w:w="453"/>
        <w:gridCol w:w="507"/>
        <w:gridCol w:w="493"/>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63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9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453"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341"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2635" w:type="dxa"/>
            <w:vMerge w:val="continue"/>
            <w:tcBorders>
              <w:tl2br w:val="nil"/>
              <w:tr2bl w:val="nil"/>
            </w:tcBorders>
            <w:vAlign w:val="center"/>
          </w:tcPr>
          <w:p/>
        </w:tc>
        <w:tc>
          <w:tcPr>
            <w:tcW w:w="1493" w:type="dxa"/>
            <w:vMerge w:val="continue"/>
            <w:tcBorders>
              <w:tl2br w:val="nil"/>
              <w:tr2bl w:val="nil"/>
            </w:tcBorders>
            <w:vAlign w:val="center"/>
          </w:tcPr>
          <w:p/>
        </w:tc>
        <w:tc>
          <w:tcPr>
            <w:tcW w:w="45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507"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49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341"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科室印刷量</w:t>
            </w:r>
          </w:p>
        </w:tc>
        <w:tc>
          <w:tcPr>
            <w:tcW w:w="2635"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未完成目标数量，每减少指标值5%，减数量分值5%，完成率低于60%得0分。</w:t>
            </w:r>
          </w:p>
        </w:tc>
        <w:tc>
          <w:tcPr>
            <w:tcW w:w="1493"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科室印刷数量</w:t>
            </w:r>
          </w:p>
        </w:tc>
        <w:tc>
          <w:tcPr>
            <w:tcW w:w="453" w:type="dxa"/>
            <w:tcBorders>
              <w:tl2br w:val="nil"/>
              <w:tr2bl w:val="nil"/>
            </w:tcBorders>
            <w:vAlign w:val="center"/>
          </w:tcPr>
          <w:p>
            <w:pPr>
              <w:widowControl/>
              <w:adjustRightInd w:val="0"/>
              <w:snapToGrid w:val="0"/>
              <w:jc w:val="center"/>
              <w:rPr>
                <w:rFonts w:ascii="方正书宋_GBK" w:eastAsia="方正书宋_GBK"/>
              </w:rPr>
            </w:pPr>
            <w:r>
              <w:rPr>
                <w:rFonts w:hint="default" w:ascii="Arial" w:hAnsi="Arial" w:eastAsia="方正书宋_GBK" w:cs="Arial"/>
              </w:rPr>
              <w:t>≥</w:t>
            </w:r>
          </w:p>
        </w:tc>
        <w:tc>
          <w:tcPr>
            <w:tcW w:w="507"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5</w:t>
            </w:r>
          </w:p>
        </w:tc>
        <w:tc>
          <w:tcPr>
            <w:tcW w:w="49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个</w:t>
            </w:r>
          </w:p>
        </w:tc>
        <w:tc>
          <w:tcPr>
            <w:tcW w:w="1341"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需求会议纪要决策文件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833"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widowControl/>
              <w:adjustRightInd w:val="0"/>
              <w:snapToGrid w:val="0"/>
              <w:rPr>
                <w:rFonts w:hint="eastAsia" w:ascii="方正书宋_GBK" w:eastAsia="方正书宋_GBK"/>
                <w:lang w:val="en-US" w:eastAsia="zh-CN"/>
              </w:rPr>
            </w:pPr>
            <w:r>
              <w:rPr>
                <w:rFonts w:hint="eastAsia" w:ascii="方正书宋_GBK" w:eastAsia="方正书宋_GBK"/>
                <w:lang w:val="en-US" w:eastAsia="zh-CN"/>
              </w:rPr>
              <w:t>合格率</w:t>
            </w:r>
          </w:p>
        </w:tc>
        <w:tc>
          <w:tcPr>
            <w:tcW w:w="2635"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标准率每下降5%，减质量分值5%，标准率低于60%得0分。</w:t>
            </w:r>
          </w:p>
        </w:tc>
        <w:tc>
          <w:tcPr>
            <w:tcW w:w="1493"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每个人办公耗材及其他业务标准率</w:t>
            </w:r>
          </w:p>
        </w:tc>
        <w:tc>
          <w:tcPr>
            <w:tcW w:w="453" w:type="dxa"/>
            <w:tcBorders>
              <w:tl2br w:val="nil"/>
              <w:tr2bl w:val="nil"/>
            </w:tcBorders>
            <w:vAlign w:val="center"/>
          </w:tcPr>
          <w:p>
            <w:pPr>
              <w:widowControl/>
              <w:adjustRightInd w:val="0"/>
              <w:snapToGrid w:val="0"/>
              <w:jc w:val="center"/>
              <w:rPr>
                <w:rFonts w:ascii="方正书宋_GBK" w:eastAsia="方正书宋_GBK"/>
              </w:rPr>
            </w:pPr>
            <w:r>
              <w:rPr>
                <w:rFonts w:hint="default" w:ascii="Arial" w:hAnsi="Arial" w:eastAsia="方正书宋_GBK" w:cs="Arial"/>
              </w:rPr>
              <w:t>≤</w:t>
            </w:r>
          </w:p>
        </w:tc>
        <w:tc>
          <w:tcPr>
            <w:tcW w:w="507"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5</w:t>
            </w:r>
          </w:p>
        </w:tc>
        <w:tc>
          <w:tcPr>
            <w:tcW w:w="49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1341" w:type="dxa"/>
            <w:tcBorders>
              <w:tl2br w:val="nil"/>
              <w:tr2bl w:val="nil"/>
            </w:tcBorders>
            <w:vAlign w:val="center"/>
          </w:tcPr>
          <w:p>
            <w:pPr>
              <w:widowControl/>
              <w:adjustRightInd w:val="0"/>
              <w:snapToGrid w:val="0"/>
              <w:rPr>
                <w:rFonts w:hint="eastAsia" w:ascii="方正书宋_GBK" w:eastAsia="方正书宋_GBK"/>
                <w:lang w:val="en-US" w:eastAsia="zh-CN"/>
              </w:rPr>
            </w:pPr>
            <w:r>
              <w:rPr>
                <w:rFonts w:hint="eastAsia" w:ascii="方正书宋_GBK" w:eastAsia="方正书宋_GBK"/>
                <w:lang w:val="en-US" w:eastAsia="zh-CN"/>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pPr>
              <w:widowControl/>
              <w:adjustRightInd w:val="0"/>
              <w:snapToGrid w:val="0"/>
              <w:rPr>
                <w:rFonts w:hint="eastAsia" w:ascii="方正书宋_GBK" w:eastAsia="方正书宋_GBK"/>
                <w:lang w:val="en-US" w:eastAsia="zh-CN"/>
              </w:rPr>
            </w:pPr>
            <w:r>
              <w:rPr>
                <w:rFonts w:hint="eastAsia" w:ascii="方正书宋_GBK" w:eastAsia="方正书宋_GBK"/>
                <w:lang w:val="en-US" w:eastAsia="zh-CN"/>
              </w:rPr>
              <w:t>完成及时率</w:t>
            </w:r>
          </w:p>
        </w:tc>
        <w:tc>
          <w:tcPr>
            <w:tcW w:w="2635"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未按计划时间节点完成，每减少指标值5%，减数量分值5%，完成率低于60%得0分。</w:t>
            </w:r>
          </w:p>
        </w:tc>
        <w:tc>
          <w:tcPr>
            <w:tcW w:w="1493"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反应按计划按时完成的效率</w:t>
            </w:r>
          </w:p>
        </w:tc>
        <w:tc>
          <w:tcPr>
            <w:tcW w:w="45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507"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100</w:t>
            </w:r>
          </w:p>
        </w:tc>
        <w:tc>
          <w:tcPr>
            <w:tcW w:w="49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1341"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widowControl/>
              <w:adjustRightInd w:val="0"/>
              <w:snapToGrid w:val="0"/>
              <w:rPr>
                <w:rFonts w:hint="eastAsia" w:ascii="方正书宋_GBK" w:eastAsia="方正书宋_GBK"/>
                <w:lang w:val="en-US" w:eastAsia="zh-CN"/>
              </w:rPr>
            </w:pPr>
            <w:r>
              <w:rPr>
                <w:rFonts w:hint="eastAsia" w:ascii="方正书宋_GBK" w:eastAsia="方正书宋_GBK"/>
                <w:lang w:val="en-US" w:eastAsia="zh-CN"/>
              </w:rPr>
              <w:t>预算数</w:t>
            </w:r>
          </w:p>
        </w:tc>
        <w:tc>
          <w:tcPr>
            <w:tcW w:w="2635"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单位成本每偏离指标值1%，减成本分值10%，偏离超过10%得0分。</w:t>
            </w:r>
          </w:p>
        </w:tc>
        <w:tc>
          <w:tcPr>
            <w:tcW w:w="149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val="en-US" w:eastAsia="zh-CN"/>
              </w:rPr>
              <w:t>编制预算成本</w:t>
            </w:r>
          </w:p>
        </w:tc>
        <w:tc>
          <w:tcPr>
            <w:tcW w:w="45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507"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495</w:t>
            </w:r>
          </w:p>
        </w:tc>
        <w:tc>
          <w:tcPr>
            <w:tcW w:w="49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万元</w:t>
            </w:r>
          </w:p>
        </w:tc>
        <w:tc>
          <w:tcPr>
            <w:tcW w:w="1341" w:type="dxa"/>
            <w:tcBorders>
              <w:tl2br w:val="nil"/>
              <w:tr2bl w:val="nil"/>
            </w:tcBorders>
            <w:vAlign w:val="center"/>
          </w:tcPr>
          <w:p>
            <w:pPr>
              <w:widowControl/>
              <w:adjustRightInd w:val="0"/>
              <w:snapToGrid w:val="0"/>
              <w:rPr>
                <w:rFonts w:hint="eastAsia" w:ascii="方正书宋_GBK" w:eastAsia="方正书宋_GBK"/>
                <w:lang w:val="en-US" w:eastAsia="zh-CN"/>
              </w:rPr>
            </w:pPr>
            <w:r>
              <w:rPr>
                <w:rFonts w:hint="eastAsia" w:ascii="方正书宋_GBK" w:eastAsia="方正书宋_GBK"/>
                <w:lang w:val="en-US" w:eastAsia="zh-CN"/>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业务保障能力的提升</w:t>
            </w:r>
          </w:p>
        </w:tc>
        <w:tc>
          <w:tcPr>
            <w:tcW w:w="2635"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业务能力提升30%得满分，每降低一个1%，扣分分值的10%，低于10%等分0分。</w:t>
            </w:r>
          </w:p>
        </w:tc>
        <w:tc>
          <w:tcPr>
            <w:tcW w:w="1493"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保障能力提升</w:t>
            </w:r>
          </w:p>
        </w:tc>
        <w:tc>
          <w:tcPr>
            <w:tcW w:w="453"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文字描述</w:t>
            </w:r>
          </w:p>
        </w:tc>
        <w:tc>
          <w:tcPr>
            <w:tcW w:w="507" w:type="dxa"/>
            <w:tcBorders>
              <w:tl2br w:val="nil"/>
              <w:tr2bl w:val="nil"/>
            </w:tcBorders>
            <w:vAlign w:val="center"/>
          </w:tcPr>
          <w:p>
            <w:pPr>
              <w:widowControl/>
              <w:adjustRightInd w:val="0"/>
              <w:snapToGrid w:val="0"/>
              <w:jc w:val="center"/>
              <w:rPr>
                <w:rFonts w:ascii="方正书宋_GBK" w:eastAsia="方正书宋_GBK"/>
              </w:rPr>
            </w:pPr>
          </w:p>
        </w:tc>
        <w:tc>
          <w:tcPr>
            <w:tcW w:w="49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提升</w:t>
            </w:r>
          </w:p>
        </w:tc>
        <w:tc>
          <w:tcPr>
            <w:tcW w:w="1341"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与往年业务相比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rPr>
                <w:rFonts w:ascii="方正书宋_GBK" w:eastAsia="方正书宋_GBK"/>
              </w:rPr>
            </w:pPr>
          </w:p>
        </w:tc>
        <w:tc>
          <w:tcPr>
            <w:tcW w:w="2635" w:type="dxa"/>
            <w:tcBorders>
              <w:tl2br w:val="nil"/>
              <w:tr2bl w:val="nil"/>
            </w:tcBorders>
            <w:vAlign w:val="center"/>
          </w:tcPr>
          <w:p>
            <w:pPr>
              <w:widowControl/>
              <w:adjustRightInd w:val="0"/>
              <w:snapToGrid w:val="0"/>
              <w:rPr>
                <w:rFonts w:ascii="方正书宋_GBK" w:eastAsia="方正书宋_GBK"/>
              </w:rPr>
            </w:pPr>
          </w:p>
        </w:tc>
        <w:tc>
          <w:tcPr>
            <w:tcW w:w="1493" w:type="dxa"/>
            <w:tcBorders>
              <w:tl2br w:val="nil"/>
              <w:tr2bl w:val="nil"/>
            </w:tcBorders>
            <w:vAlign w:val="center"/>
          </w:tcPr>
          <w:p>
            <w:pPr>
              <w:widowControl/>
              <w:adjustRightInd w:val="0"/>
              <w:snapToGrid w:val="0"/>
              <w:rPr>
                <w:rFonts w:ascii="方正书宋_GBK" w:eastAsia="方正书宋_GBK"/>
              </w:rPr>
            </w:pPr>
          </w:p>
        </w:tc>
        <w:tc>
          <w:tcPr>
            <w:tcW w:w="453" w:type="dxa"/>
            <w:tcBorders>
              <w:tl2br w:val="nil"/>
              <w:tr2bl w:val="nil"/>
            </w:tcBorders>
            <w:vAlign w:val="center"/>
          </w:tcPr>
          <w:p>
            <w:pPr>
              <w:widowControl/>
              <w:adjustRightInd w:val="0"/>
              <w:snapToGrid w:val="0"/>
              <w:rPr>
                <w:rFonts w:ascii="方正书宋_GBK" w:eastAsia="方正书宋_GBK"/>
              </w:rPr>
            </w:pPr>
          </w:p>
        </w:tc>
        <w:tc>
          <w:tcPr>
            <w:tcW w:w="507" w:type="dxa"/>
            <w:tcBorders>
              <w:tl2br w:val="nil"/>
              <w:tr2bl w:val="nil"/>
            </w:tcBorders>
            <w:vAlign w:val="center"/>
          </w:tcPr>
          <w:p>
            <w:pPr>
              <w:widowControl/>
              <w:adjustRightInd w:val="0"/>
              <w:snapToGrid w:val="0"/>
              <w:rPr>
                <w:rFonts w:ascii="方正书宋_GBK" w:eastAsia="方正书宋_GBK"/>
              </w:rPr>
            </w:pPr>
          </w:p>
        </w:tc>
        <w:tc>
          <w:tcPr>
            <w:tcW w:w="493" w:type="dxa"/>
            <w:tcBorders>
              <w:tl2br w:val="nil"/>
              <w:tr2bl w:val="nil"/>
            </w:tcBorders>
            <w:vAlign w:val="center"/>
          </w:tcPr>
          <w:p>
            <w:pPr>
              <w:widowControl/>
              <w:adjustRightInd w:val="0"/>
              <w:snapToGrid w:val="0"/>
              <w:rPr>
                <w:rFonts w:ascii="方正书宋_GBK" w:eastAsia="方正书宋_GBK"/>
              </w:rPr>
            </w:pPr>
          </w:p>
        </w:tc>
        <w:tc>
          <w:tcPr>
            <w:tcW w:w="1341"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生态</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rPr>
                <w:rFonts w:ascii="方正书宋_GBK" w:eastAsia="方正书宋_GBK"/>
              </w:rPr>
            </w:pPr>
          </w:p>
        </w:tc>
        <w:tc>
          <w:tcPr>
            <w:tcW w:w="2635" w:type="dxa"/>
            <w:tcBorders>
              <w:tl2br w:val="nil"/>
              <w:tr2bl w:val="nil"/>
            </w:tcBorders>
            <w:vAlign w:val="center"/>
          </w:tcPr>
          <w:p>
            <w:pPr>
              <w:widowControl/>
              <w:adjustRightInd w:val="0"/>
              <w:snapToGrid w:val="0"/>
              <w:rPr>
                <w:rFonts w:ascii="方正书宋_GBK" w:eastAsia="方正书宋_GBK"/>
              </w:rPr>
            </w:pPr>
          </w:p>
        </w:tc>
        <w:tc>
          <w:tcPr>
            <w:tcW w:w="1493" w:type="dxa"/>
            <w:tcBorders>
              <w:tl2br w:val="nil"/>
              <w:tr2bl w:val="nil"/>
            </w:tcBorders>
            <w:vAlign w:val="center"/>
          </w:tcPr>
          <w:p>
            <w:pPr>
              <w:widowControl/>
              <w:adjustRightInd w:val="0"/>
              <w:snapToGrid w:val="0"/>
              <w:rPr>
                <w:rFonts w:ascii="方正书宋_GBK" w:eastAsia="方正书宋_GBK"/>
              </w:rPr>
            </w:pPr>
          </w:p>
        </w:tc>
        <w:tc>
          <w:tcPr>
            <w:tcW w:w="453" w:type="dxa"/>
            <w:tcBorders>
              <w:tl2br w:val="nil"/>
              <w:tr2bl w:val="nil"/>
            </w:tcBorders>
            <w:vAlign w:val="center"/>
          </w:tcPr>
          <w:p>
            <w:pPr>
              <w:widowControl/>
              <w:adjustRightInd w:val="0"/>
              <w:snapToGrid w:val="0"/>
              <w:rPr>
                <w:rFonts w:ascii="方正书宋_GBK" w:eastAsia="方正书宋_GBK"/>
              </w:rPr>
            </w:pPr>
          </w:p>
        </w:tc>
        <w:tc>
          <w:tcPr>
            <w:tcW w:w="507" w:type="dxa"/>
            <w:tcBorders>
              <w:tl2br w:val="nil"/>
              <w:tr2bl w:val="nil"/>
            </w:tcBorders>
            <w:vAlign w:val="center"/>
          </w:tcPr>
          <w:p>
            <w:pPr>
              <w:widowControl/>
              <w:adjustRightInd w:val="0"/>
              <w:snapToGrid w:val="0"/>
              <w:rPr>
                <w:rFonts w:ascii="方正书宋_GBK" w:eastAsia="方正书宋_GBK"/>
              </w:rPr>
            </w:pPr>
          </w:p>
        </w:tc>
        <w:tc>
          <w:tcPr>
            <w:tcW w:w="493" w:type="dxa"/>
            <w:tcBorders>
              <w:tl2br w:val="nil"/>
              <w:tr2bl w:val="nil"/>
            </w:tcBorders>
            <w:vAlign w:val="center"/>
          </w:tcPr>
          <w:p>
            <w:pPr>
              <w:widowControl/>
              <w:adjustRightInd w:val="0"/>
              <w:snapToGrid w:val="0"/>
              <w:rPr>
                <w:rFonts w:ascii="方正书宋_GBK" w:eastAsia="方正书宋_GBK"/>
              </w:rPr>
            </w:pPr>
          </w:p>
        </w:tc>
        <w:tc>
          <w:tcPr>
            <w:tcW w:w="1341"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897" w:type="dxa"/>
            <w:tcBorders>
              <w:tl2br w:val="nil"/>
              <w:tr2bl w:val="nil"/>
            </w:tcBorders>
            <w:noWrap/>
            <w:vAlign w:val="center"/>
          </w:tcPr>
          <w:p>
            <w:pPr>
              <w:widowControl/>
              <w:adjustRightInd w:val="0"/>
              <w:snapToGrid w:val="0"/>
              <w:rPr>
                <w:rFonts w:ascii="方正书宋_GBK" w:eastAsia="方正书宋_GBK"/>
              </w:rPr>
            </w:pPr>
          </w:p>
        </w:tc>
        <w:tc>
          <w:tcPr>
            <w:tcW w:w="2635" w:type="dxa"/>
            <w:tcBorders>
              <w:tl2br w:val="nil"/>
              <w:tr2bl w:val="nil"/>
            </w:tcBorders>
            <w:noWrap/>
            <w:vAlign w:val="center"/>
          </w:tcPr>
          <w:p>
            <w:pPr>
              <w:widowControl/>
              <w:adjustRightInd w:val="0"/>
              <w:snapToGrid w:val="0"/>
              <w:rPr>
                <w:rFonts w:ascii="方正书宋_GBK" w:eastAsia="方正书宋_GBK"/>
              </w:rPr>
            </w:pPr>
          </w:p>
        </w:tc>
        <w:tc>
          <w:tcPr>
            <w:tcW w:w="1493" w:type="dxa"/>
            <w:tcBorders>
              <w:tl2br w:val="nil"/>
              <w:tr2bl w:val="nil"/>
            </w:tcBorders>
            <w:noWrap/>
            <w:vAlign w:val="center"/>
          </w:tcPr>
          <w:p>
            <w:pPr>
              <w:widowControl/>
              <w:adjustRightInd w:val="0"/>
              <w:snapToGrid w:val="0"/>
              <w:rPr>
                <w:rFonts w:ascii="方正书宋_GBK" w:eastAsia="方正书宋_GBK"/>
              </w:rPr>
            </w:pPr>
          </w:p>
        </w:tc>
        <w:tc>
          <w:tcPr>
            <w:tcW w:w="453" w:type="dxa"/>
            <w:tcBorders>
              <w:tl2br w:val="nil"/>
              <w:tr2bl w:val="nil"/>
            </w:tcBorders>
            <w:vAlign w:val="center"/>
          </w:tcPr>
          <w:p>
            <w:pPr>
              <w:widowControl/>
              <w:adjustRightInd w:val="0"/>
              <w:snapToGrid w:val="0"/>
              <w:jc w:val="center"/>
              <w:rPr>
                <w:rFonts w:ascii="方正书宋_GBK" w:eastAsia="方正书宋_GBK"/>
              </w:rPr>
            </w:pPr>
          </w:p>
        </w:tc>
        <w:tc>
          <w:tcPr>
            <w:tcW w:w="507" w:type="dxa"/>
            <w:tcBorders>
              <w:tl2br w:val="nil"/>
              <w:tr2bl w:val="nil"/>
            </w:tcBorders>
            <w:vAlign w:val="center"/>
          </w:tcPr>
          <w:p>
            <w:pPr>
              <w:widowControl/>
              <w:adjustRightInd w:val="0"/>
              <w:snapToGrid w:val="0"/>
              <w:jc w:val="center"/>
              <w:rPr>
                <w:rFonts w:ascii="方正书宋_GBK" w:eastAsia="方正书宋_GBK"/>
              </w:rPr>
            </w:pPr>
          </w:p>
        </w:tc>
        <w:tc>
          <w:tcPr>
            <w:tcW w:w="493" w:type="dxa"/>
            <w:tcBorders>
              <w:tl2br w:val="nil"/>
              <w:tr2bl w:val="nil"/>
            </w:tcBorders>
            <w:vAlign w:val="center"/>
          </w:tcPr>
          <w:p>
            <w:pPr>
              <w:widowControl/>
              <w:adjustRightInd w:val="0"/>
              <w:snapToGrid w:val="0"/>
              <w:jc w:val="center"/>
              <w:rPr>
                <w:rFonts w:ascii="方正书宋_GBK" w:eastAsia="方正书宋_GBK"/>
              </w:rPr>
            </w:pPr>
          </w:p>
        </w:tc>
        <w:tc>
          <w:tcPr>
            <w:tcW w:w="1341"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897" w:type="dxa"/>
            <w:tcBorders>
              <w:tl2br w:val="nil"/>
              <w:tr2bl w:val="nil"/>
            </w:tcBorders>
            <w:noWrap/>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全体工作人员满意度</w:t>
            </w:r>
          </w:p>
        </w:tc>
        <w:tc>
          <w:tcPr>
            <w:tcW w:w="2635" w:type="dxa"/>
            <w:tcBorders>
              <w:tl2br w:val="nil"/>
              <w:tr2bl w:val="nil"/>
            </w:tcBorders>
            <w:noWrap/>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满意度每降低5%，减满意度分值5%，满意度低于60%得0分。</w:t>
            </w:r>
          </w:p>
        </w:tc>
        <w:tc>
          <w:tcPr>
            <w:tcW w:w="1493" w:type="dxa"/>
            <w:tcBorders>
              <w:tl2br w:val="nil"/>
              <w:tr2bl w:val="nil"/>
            </w:tcBorders>
            <w:noWrap/>
            <w:vAlign w:val="center"/>
          </w:tcPr>
          <w:p>
            <w:pPr>
              <w:widowControl/>
              <w:adjustRightInd w:val="0"/>
              <w:snapToGrid w:val="0"/>
              <w:rPr>
                <w:rFonts w:hint="eastAsia" w:ascii="方正书宋_GBK" w:eastAsia="方正书宋_GBK"/>
                <w:lang w:val="en-US" w:eastAsia="zh-CN"/>
              </w:rPr>
            </w:pPr>
            <w:r>
              <w:rPr>
                <w:rFonts w:hint="eastAsia" w:ascii="方正书宋_GBK" w:eastAsia="方正书宋_GBK"/>
                <w:lang w:val="en-US" w:eastAsia="zh-CN"/>
              </w:rPr>
              <w:t>全体工作人员满意度</w:t>
            </w:r>
          </w:p>
        </w:tc>
        <w:tc>
          <w:tcPr>
            <w:tcW w:w="453" w:type="dxa"/>
            <w:tcBorders>
              <w:tl2br w:val="nil"/>
              <w:tr2bl w:val="nil"/>
            </w:tcBorders>
            <w:vAlign w:val="center"/>
          </w:tcPr>
          <w:p>
            <w:pPr>
              <w:widowControl/>
              <w:adjustRightInd w:val="0"/>
              <w:snapToGrid w:val="0"/>
              <w:rPr>
                <w:rFonts w:ascii="方正书宋_GBK" w:eastAsia="方正书宋_GBK"/>
              </w:rPr>
            </w:pPr>
            <w:r>
              <w:rPr>
                <w:rFonts w:hint="default" w:ascii="Arial" w:hAnsi="Arial" w:eastAsia="方正书宋_GBK" w:cs="Arial"/>
              </w:rPr>
              <w:t>≥</w:t>
            </w:r>
          </w:p>
        </w:tc>
        <w:tc>
          <w:tcPr>
            <w:tcW w:w="507"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95</w:t>
            </w:r>
          </w:p>
        </w:tc>
        <w:tc>
          <w:tcPr>
            <w:tcW w:w="493" w:type="dxa"/>
            <w:tcBorders>
              <w:tl2br w:val="nil"/>
              <w:tr2bl w:val="nil"/>
            </w:tcBorders>
            <w:vAlign w:val="center"/>
          </w:tcPr>
          <w:p>
            <w:pPr>
              <w:widowControl/>
              <w:adjustRightInd w:val="0"/>
              <w:snapToGrid w:val="0"/>
              <w:rPr>
                <w:rFonts w:hint="eastAsia" w:ascii="方正书宋_GBK" w:eastAsia="方正书宋_GBK"/>
                <w:lang w:val="en-US" w:eastAsia="zh-CN"/>
              </w:rPr>
            </w:pPr>
            <w:r>
              <w:rPr>
                <w:rFonts w:hint="eastAsia" w:ascii="方正书宋_GBK" w:eastAsia="方正书宋_GBK"/>
                <w:lang w:val="en-US" w:eastAsia="zh-CN"/>
              </w:rPr>
              <w:t>%</w:t>
            </w:r>
          </w:p>
        </w:tc>
        <w:tc>
          <w:tcPr>
            <w:tcW w:w="1341"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问卷调查</w:t>
            </w:r>
          </w:p>
        </w:tc>
      </w:tr>
    </w:tbl>
    <w:p>
      <w:pPr>
        <w:spacing w:line="584" w:lineRule="exact"/>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spacing w:before="0" w:after="0"/>
        <w:ind w:firstLine="560"/>
        <w:jc w:val="left"/>
        <w:outlineLvl w:val="9"/>
      </w:pPr>
      <w:r>
        <w:rPr>
          <w:rFonts w:ascii="方正仿宋_GBK" w:hAnsi="方正仿宋_GBK" w:eastAsia="方正仿宋_GBK" w:cs="方正仿宋_GBK"/>
          <w:b/>
          <w:color w:val="000000"/>
          <w:sz w:val="28"/>
        </w:rPr>
        <w:t>1、查办案件经费绩效目标表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6"/>
            </w:pPr>
            <w:r>
              <w:t>1.为检察工作顺利开展提供保障，提高执法水平和办案质量，提升检察机关工作法律监督能力</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邮电费数量</w:t>
            </w:r>
          </w:p>
        </w:tc>
        <w:tc>
          <w:tcPr>
            <w:tcW w:w="2835" w:type="dxa"/>
            <w:vAlign w:val="center"/>
          </w:tcPr>
          <w:p>
            <w:pPr>
              <w:pStyle w:val="16"/>
            </w:pPr>
            <w:r>
              <w:t>平均月邮电费数量</w:t>
            </w:r>
          </w:p>
        </w:tc>
        <w:tc>
          <w:tcPr>
            <w:tcW w:w="2551" w:type="dxa"/>
            <w:vAlign w:val="center"/>
          </w:tcPr>
          <w:p>
            <w:pPr>
              <w:pStyle w:val="16"/>
            </w:pPr>
            <w:r>
              <w:t>10台</w:t>
            </w:r>
          </w:p>
        </w:tc>
        <w:tc>
          <w:tcPr>
            <w:tcW w:w="2268" w:type="dxa"/>
            <w:vAlign w:val="center"/>
          </w:tcPr>
          <w:p>
            <w:pPr>
              <w:pStyle w:val="16"/>
            </w:pPr>
            <w:r>
              <w:t>需求会议纪要决策文件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科室印刷量</w:t>
            </w:r>
          </w:p>
        </w:tc>
        <w:tc>
          <w:tcPr>
            <w:tcW w:w="2835" w:type="dxa"/>
            <w:vAlign w:val="center"/>
          </w:tcPr>
          <w:p>
            <w:pPr>
              <w:pStyle w:val="16"/>
            </w:pPr>
            <w:r>
              <w:t>科室印刷数量</w:t>
            </w:r>
          </w:p>
        </w:tc>
        <w:tc>
          <w:tcPr>
            <w:tcW w:w="2551" w:type="dxa"/>
            <w:vAlign w:val="center"/>
          </w:tcPr>
          <w:p>
            <w:pPr>
              <w:pStyle w:val="16"/>
            </w:pPr>
            <w:r>
              <w:t>≥5个</w:t>
            </w:r>
          </w:p>
        </w:tc>
        <w:tc>
          <w:tcPr>
            <w:tcW w:w="2268" w:type="dxa"/>
            <w:vAlign w:val="center"/>
          </w:tcPr>
          <w:p>
            <w:pPr>
              <w:pStyle w:val="16"/>
            </w:pPr>
            <w:r>
              <w:t>需求会议纪要决策文件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合格率</w:t>
            </w:r>
          </w:p>
        </w:tc>
        <w:tc>
          <w:tcPr>
            <w:tcW w:w="2835" w:type="dxa"/>
            <w:vAlign w:val="center"/>
          </w:tcPr>
          <w:p>
            <w:pPr>
              <w:pStyle w:val="16"/>
            </w:pPr>
            <w:r>
              <w:t>每个人办公耗材及其他业务标准率</w:t>
            </w:r>
          </w:p>
        </w:tc>
        <w:tc>
          <w:tcPr>
            <w:tcW w:w="2551" w:type="dxa"/>
            <w:vAlign w:val="center"/>
          </w:tcPr>
          <w:p>
            <w:pPr>
              <w:pStyle w:val="16"/>
            </w:pPr>
            <w:r>
              <w:t>≤5%</w:t>
            </w:r>
          </w:p>
        </w:tc>
        <w:tc>
          <w:tcPr>
            <w:tcW w:w="2268" w:type="dxa"/>
            <w:vAlign w:val="center"/>
          </w:tcPr>
          <w:p>
            <w:pPr>
              <w:pStyle w:val="16"/>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完成及时率</w:t>
            </w:r>
          </w:p>
        </w:tc>
        <w:tc>
          <w:tcPr>
            <w:tcW w:w="2835" w:type="dxa"/>
            <w:vAlign w:val="center"/>
          </w:tcPr>
          <w:p>
            <w:pPr>
              <w:pStyle w:val="16"/>
            </w:pPr>
            <w:r>
              <w:t>反映按计划按时完成的效率</w:t>
            </w:r>
          </w:p>
        </w:tc>
        <w:tc>
          <w:tcPr>
            <w:tcW w:w="2551" w:type="dxa"/>
            <w:vAlign w:val="center"/>
          </w:tcPr>
          <w:p>
            <w:pPr>
              <w:pStyle w:val="16"/>
            </w:pPr>
            <w:r>
              <w:t>100%</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邮电费用成本</w:t>
            </w:r>
          </w:p>
        </w:tc>
        <w:tc>
          <w:tcPr>
            <w:tcW w:w="2835" w:type="dxa"/>
            <w:vAlign w:val="center"/>
          </w:tcPr>
          <w:p>
            <w:pPr>
              <w:pStyle w:val="16"/>
            </w:pPr>
            <w:r>
              <w:t>平均月邮电费用费用成本</w:t>
            </w:r>
          </w:p>
        </w:tc>
        <w:tc>
          <w:tcPr>
            <w:tcW w:w="2551" w:type="dxa"/>
            <w:vAlign w:val="center"/>
          </w:tcPr>
          <w:p>
            <w:pPr>
              <w:pStyle w:val="16"/>
            </w:pPr>
            <w:r>
              <w:t>1666.67元</w:t>
            </w:r>
          </w:p>
        </w:tc>
        <w:tc>
          <w:tcPr>
            <w:tcW w:w="2268" w:type="dxa"/>
            <w:vAlign w:val="center"/>
          </w:tcPr>
          <w:p>
            <w:pPr>
              <w:pStyle w:val="16"/>
            </w:pPr>
            <w:r>
              <w:t>依据往年统计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科室印刷成本控制数</w:t>
            </w:r>
          </w:p>
        </w:tc>
        <w:tc>
          <w:tcPr>
            <w:tcW w:w="2835" w:type="dxa"/>
            <w:vAlign w:val="center"/>
          </w:tcPr>
          <w:p>
            <w:pPr>
              <w:pStyle w:val="16"/>
            </w:pPr>
            <w:r>
              <w:t>反映单科室月印刷费用控制情况</w:t>
            </w:r>
          </w:p>
        </w:tc>
        <w:tc>
          <w:tcPr>
            <w:tcW w:w="2551" w:type="dxa"/>
            <w:vAlign w:val="center"/>
          </w:tcPr>
          <w:p>
            <w:pPr>
              <w:pStyle w:val="16"/>
            </w:pPr>
            <w:r>
              <w:t>≤18000元</w:t>
            </w:r>
          </w:p>
        </w:tc>
        <w:tc>
          <w:tcPr>
            <w:tcW w:w="2268" w:type="dxa"/>
            <w:vAlign w:val="center"/>
          </w:tcPr>
          <w:p>
            <w:pPr>
              <w:pStyle w:val="16"/>
            </w:pPr>
            <w:r>
              <w:t>依据往年统计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业务保障能力的提升</w:t>
            </w:r>
          </w:p>
        </w:tc>
        <w:tc>
          <w:tcPr>
            <w:tcW w:w="2835" w:type="dxa"/>
            <w:vAlign w:val="center"/>
          </w:tcPr>
          <w:p>
            <w:pPr>
              <w:pStyle w:val="16"/>
            </w:pPr>
            <w:r>
              <w:t>保障能力提升</w:t>
            </w:r>
          </w:p>
        </w:tc>
        <w:tc>
          <w:tcPr>
            <w:tcW w:w="2551" w:type="dxa"/>
            <w:vAlign w:val="center"/>
          </w:tcPr>
          <w:p>
            <w:pPr>
              <w:pStyle w:val="16"/>
            </w:pPr>
            <w:r>
              <w:t>提升</w:t>
            </w:r>
          </w:p>
        </w:tc>
        <w:tc>
          <w:tcPr>
            <w:tcW w:w="2268" w:type="dxa"/>
            <w:vAlign w:val="center"/>
          </w:tcPr>
          <w:p>
            <w:pPr>
              <w:pStyle w:val="16"/>
            </w:pPr>
            <w:r>
              <w:t>与往年业务业务相比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办案人员满意度</w:t>
            </w:r>
          </w:p>
        </w:tc>
        <w:tc>
          <w:tcPr>
            <w:tcW w:w="2835" w:type="dxa"/>
            <w:vAlign w:val="center"/>
          </w:tcPr>
          <w:p>
            <w:pPr>
              <w:pStyle w:val="16"/>
            </w:pPr>
            <w:r>
              <w:t>办案人员满意程度</w:t>
            </w:r>
          </w:p>
        </w:tc>
        <w:tc>
          <w:tcPr>
            <w:tcW w:w="2551" w:type="dxa"/>
            <w:vAlign w:val="center"/>
          </w:tcPr>
          <w:p>
            <w:pPr>
              <w:pStyle w:val="16"/>
            </w:pPr>
            <w:r>
              <w:t>≥95%</w:t>
            </w:r>
          </w:p>
        </w:tc>
        <w:tc>
          <w:tcPr>
            <w:tcW w:w="2268"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2、检察辅助人员经费绩效目标表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6"/>
            </w:pPr>
            <w:r>
              <w:t>1.通过项目的开展，对符合条件的10名员工发放工资，提高检察业务辅助职能，保障办案业务质量的实现。</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工资发放人数</w:t>
            </w:r>
          </w:p>
        </w:tc>
        <w:tc>
          <w:tcPr>
            <w:tcW w:w="2835" w:type="dxa"/>
            <w:vAlign w:val="center"/>
          </w:tcPr>
          <w:p>
            <w:pPr>
              <w:pStyle w:val="16"/>
            </w:pPr>
            <w:r>
              <w:t>工资发放人数</w:t>
            </w:r>
          </w:p>
        </w:tc>
        <w:tc>
          <w:tcPr>
            <w:tcW w:w="2551" w:type="dxa"/>
            <w:vAlign w:val="center"/>
          </w:tcPr>
          <w:p>
            <w:pPr>
              <w:pStyle w:val="16"/>
            </w:pPr>
            <w:r>
              <w:t>10人</w:t>
            </w:r>
          </w:p>
        </w:tc>
        <w:tc>
          <w:tcPr>
            <w:tcW w:w="2268" w:type="dxa"/>
            <w:vAlign w:val="center"/>
          </w:tcPr>
          <w:p>
            <w:pPr>
              <w:pStyle w:val="16"/>
            </w:pPr>
            <w:r>
              <w:t>2021年单位实际人员情况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发放人员合规率</w:t>
            </w:r>
          </w:p>
        </w:tc>
        <w:tc>
          <w:tcPr>
            <w:tcW w:w="2835" w:type="dxa"/>
            <w:vAlign w:val="center"/>
          </w:tcPr>
          <w:p>
            <w:pPr>
              <w:pStyle w:val="16"/>
            </w:pPr>
            <w:r>
              <w:t>实际发放工资的合规人员占应发放工资的合规人员</w:t>
            </w:r>
          </w:p>
        </w:tc>
        <w:tc>
          <w:tcPr>
            <w:tcW w:w="2551" w:type="dxa"/>
            <w:vAlign w:val="center"/>
          </w:tcPr>
          <w:p>
            <w:pPr>
              <w:pStyle w:val="16"/>
            </w:pPr>
            <w:r>
              <w:t>100%</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工资发放及时率</w:t>
            </w:r>
          </w:p>
        </w:tc>
        <w:tc>
          <w:tcPr>
            <w:tcW w:w="2835" w:type="dxa"/>
            <w:vAlign w:val="center"/>
          </w:tcPr>
          <w:p>
            <w:pPr>
              <w:pStyle w:val="16"/>
            </w:pPr>
            <w:r>
              <w:t>按照规定的时间及时发放</w:t>
            </w:r>
          </w:p>
        </w:tc>
        <w:tc>
          <w:tcPr>
            <w:tcW w:w="2551" w:type="dxa"/>
            <w:vAlign w:val="center"/>
          </w:tcPr>
          <w:p>
            <w:pPr>
              <w:pStyle w:val="16"/>
            </w:pPr>
            <w:r>
              <w:t>100%</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同工资级别人均发放成本</w:t>
            </w:r>
          </w:p>
        </w:tc>
        <w:tc>
          <w:tcPr>
            <w:tcW w:w="2835" w:type="dxa"/>
            <w:vAlign w:val="center"/>
          </w:tcPr>
          <w:p>
            <w:pPr>
              <w:pStyle w:val="16"/>
            </w:pPr>
            <w:r>
              <w:t>按照同工资级别及时发放5人</w:t>
            </w:r>
          </w:p>
        </w:tc>
        <w:tc>
          <w:tcPr>
            <w:tcW w:w="2551" w:type="dxa"/>
            <w:vAlign w:val="center"/>
          </w:tcPr>
          <w:p>
            <w:pPr>
              <w:pStyle w:val="16"/>
            </w:pPr>
            <w:r>
              <w:t>4285元/人</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人员工资</w:t>
            </w:r>
          </w:p>
        </w:tc>
        <w:tc>
          <w:tcPr>
            <w:tcW w:w="2835" w:type="dxa"/>
            <w:vAlign w:val="center"/>
          </w:tcPr>
          <w:p>
            <w:pPr>
              <w:pStyle w:val="16"/>
            </w:pPr>
            <w:r>
              <w:t>按照同工资级别及时发放3人</w:t>
            </w:r>
          </w:p>
        </w:tc>
        <w:tc>
          <w:tcPr>
            <w:tcW w:w="2551" w:type="dxa"/>
            <w:vAlign w:val="center"/>
          </w:tcPr>
          <w:p>
            <w:pPr>
              <w:pStyle w:val="16"/>
            </w:pPr>
            <w:r>
              <w:t>2900元/人</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人员工资</w:t>
            </w:r>
          </w:p>
        </w:tc>
        <w:tc>
          <w:tcPr>
            <w:tcW w:w="2835" w:type="dxa"/>
            <w:vAlign w:val="center"/>
          </w:tcPr>
          <w:p>
            <w:pPr>
              <w:pStyle w:val="16"/>
            </w:pPr>
            <w:r>
              <w:t>按照同工资级别及时发放1人</w:t>
            </w:r>
          </w:p>
        </w:tc>
        <w:tc>
          <w:tcPr>
            <w:tcW w:w="2551" w:type="dxa"/>
            <w:vAlign w:val="center"/>
          </w:tcPr>
          <w:p>
            <w:pPr>
              <w:pStyle w:val="16"/>
            </w:pPr>
            <w:r>
              <w:t>3500元/人</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人员工资</w:t>
            </w:r>
          </w:p>
        </w:tc>
        <w:tc>
          <w:tcPr>
            <w:tcW w:w="2835" w:type="dxa"/>
            <w:vAlign w:val="center"/>
          </w:tcPr>
          <w:p>
            <w:pPr>
              <w:pStyle w:val="16"/>
            </w:pPr>
            <w:r>
              <w:t>按照同工资级别及时发放1人</w:t>
            </w:r>
          </w:p>
        </w:tc>
        <w:tc>
          <w:tcPr>
            <w:tcW w:w="2551" w:type="dxa"/>
            <w:vAlign w:val="center"/>
          </w:tcPr>
          <w:p>
            <w:pPr>
              <w:pStyle w:val="16"/>
            </w:pPr>
            <w:r>
              <w:t>3001元/人</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人员办案提升情况</w:t>
            </w:r>
          </w:p>
        </w:tc>
        <w:tc>
          <w:tcPr>
            <w:tcW w:w="2835" w:type="dxa"/>
            <w:vAlign w:val="center"/>
          </w:tcPr>
          <w:p>
            <w:pPr>
              <w:pStyle w:val="16"/>
            </w:pPr>
            <w:r>
              <w:t>检察业务辅助职能显著提高，办案业务质量显著提升</w:t>
            </w:r>
          </w:p>
        </w:tc>
        <w:tc>
          <w:tcPr>
            <w:tcW w:w="2551" w:type="dxa"/>
            <w:vAlign w:val="center"/>
          </w:tcPr>
          <w:p>
            <w:pPr>
              <w:pStyle w:val="16"/>
            </w:pPr>
            <w:r>
              <w:t>显著</w:t>
            </w:r>
          </w:p>
        </w:tc>
        <w:tc>
          <w:tcPr>
            <w:tcW w:w="2268" w:type="dxa"/>
            <w:vAlign w:val="center"/>
          </w:tcPr>
          <w:p>
            <w:pPr>
              <w:pStyle w:val="16"/>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办公人员满意度</w:t>
            </w:r>
          </w:p>
        </w:tc>
        <w:tc>
          <w:tcPr>
            <w:tcW w:w="2835" w:type="dxa"/>
            <w:vAlign w:val="center"/>
          </w:tcPr>
          <w:p>
            <w:pPr>
              <w:pStyle w:val="16"/>
            </w:pPr>
            <w:r>
              <w:t>办公人员满意度</w:t>
            </w:r>
          </w:p>
        </w:tc>
        <w:tc>
          <w:tcPr>
            <w:tcW w:w="2551" w:type="dxa"/>
            <w:vAlign w:val="center"/>
          </w:tcPr>
          <w:p>
            <w:pPr>
              <w:pStyle w:val="16"/>
            </w:pPr>
            <w:r>
              <w:t>≥95%</w:t>
            </w:r>
          </w:p>
        </w:tc>
        <w:tc>
          <w:tcPr>
            <w:tcW w:w="2268" w:type="dxa"/>
            <w:vAlign w:val="center"/>
          </w:tcPr>
          <w:p>
            <w:pPr>
              <w:pStyle w:val="16"/>
            </w:pPr>
            <w:r>
              <w:t>问卷调查</w:t>
            </w:r>
          </w:p>
        </w:tc>
      </w:tr>
    </w:tbl>
    <w:p>
      <w:pPr>
        <w:spacing w:before="0" w:after="0"/>
        <w:ind w:firstLine="560"/>
        <w:jc w:val="left"/>
        <w:outlineLvl w:val="9"/>
      </w:pPr>
      <w:r>
        <w:rPr>
          <w:rFonts w:ascii="方正仿宋_GBK" w:hAnsi="方正仿宋_GBK" w:eastAsia="方正仿宋_GBK" w:cs="方正仿宋_GBK"/>
          <w:b/>
          <w:color w:val="000000"/>
          <w:sz w:val="28"/>
        </w:rPr>
        <w:t>3、司法救助金经费绩效目标表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6"/>
            </w:pPr>
            <w:r>
              <w:t>1.为了进一步加强和规范检察机关国家救助工作，使检察机关更加紧密地团结群众，更加有效地服务群众，彰显对案件受害人的人文关怀。</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救助金发放人数</w:t>
            </w:r>
          </w:p>
        </w:tc>
        <w:tc>
          <w:tcPr>
            <w:tcW w:w="2835" w:type="dxa"/>
            <w:vAlign w:val="center"/>
          </w:tcPr>
          <w:p>
            <w:pPr>
              <w:pStyle w:val="16"/>
            </w:pPr>
            <w:r>
              <w:t>救助金发放人数</w:t>
            </w:r>
          </w:p>
        </w:tc>
        <w:tc>
          <w:tcPr>
            <w:tcW w:w="2551" w:type="dxa"/>
            <w:vAlign w:val="center"/>
          </w:tcPr>
          <w:p>
            <w:pPr>
              <w:pStyle w:val="16"/>
            </w:pPr>
            <w:r>
              <w:t>≥1人</w:t>
            </w:r>
          </w:p>
        </w:tc>
        <w:tc>
          <w:tcPr>
            <w:tcW w:w="2268" w:type="dxa"/>
            <w:vAlign w:val="center"/>
          </w:tcPr>
          <w:p>
            <w:pPr>
              <w:pStyle w:val="16"/>
            </w:pPr>
            <w:r>
              <w:t>2021年实际人员情况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发放人员合规率</w:t>
            </w:r>
          </w:p>
        </w:tc>
        <w:tc>
          <w:tcPr>
            <w:tcW w:w="2835" w:type="dxa"/>
            <w:vAlign w:val="center"/>
          </w:tcPr>
          <w:p>
            <w:pPr>
              <w:pStyle w:val="16"/>
            </w:pPr>
            <w:r>
              <w:t>实际发放救助金的合规人员占应发放救助金的合规人员</w:t>
            </w:r>
          </w:p>
        </w:tc>
        <w:tc>
          <w:tcPr>
            <w:tcW w:w="2551" w:type="dxa"/>
            <w:vAlign w:val="center"/>
          </w:tcPr>
          <w:p>
            <w:pPr>
              <w:pStyle w:val="16"/>
            </w:pPr>
            <w:r>
              <w:t>100%</w:t>
            </w:r>
          </w:p>
        </w:tc>
        <w:tc>
          <w:tcPr>
            <w:tcW w:w="2268" w:type="dxa"/>
            <w:vAlign w:val="center"/>
          </w:tcPr>
          <w:p>
            <w:pPr>
              <w:pStyle w:val="16"/>
            </w:pPr>
            <w:r>
              <w:t>2021年年度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救助金发放及时率</w:t>
            </w:r>
          </w:p>
        </w:tc>
        <w:tc>
          <w:tcPr>
            <w:tcW w:w="2835" w:type="dxa"/>
            <w:vAlign w:val="center"/>
          </w:tcPr>
          <w:p>
            <w:pPr>
              <w:pStyle w:val="16"/>
            </w:pPr>
            <w:r>
              <w:t>按照规定的时间及时发放</w:t>
            </w:r>
          </w:p>
        </w:tc>
        <w:tc>
          <w:tcPr>
            <w:tcW w:w="2551" w:type="dxa"/>
            <w:vAlign w:val="center"/>
          </w:tcPr>
          <w:p>
            <w:pPr>
              <w:pStyle w:val="16"/>
            </w:pPr>
            <w:r>
              <w:t>100%</w:t>
            </w:r>
          </w:p>
        </w:tc>
        <w:tc>
          <w:tcPr>
            <w:tcW w:w="2268" w:type="dxa"/>
            <w:vAlign w:val="center"/>
          </w:tcPr>
          <w:p>
            <w:pPr>
              <w:pStyle w:val="16"/>
            </w:pPr>
            <w:r>
              <w:t>2021年年度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成本控制率</w:t>
            </w:r>
          </w:p>
        </w:tc>
        <w:tc>
          <w:tcPr>
            <w:tcW w:w="2835" w:type="dxa"/>
            <w:vAlign w:val="center"/>
          </w:tcPr>
          <w:p>
            <w:pPr>
              <w:pStyle w:val="16"/>
            </w:pPr>
            <w:r>
              <w:t>实际支出金额占预算金额比例</w:t>
            </w:r>
          </w:p>
        </w:tc>
        <w:tc>
          <w:tcPr>
            <w:tcW w:w="2551" w:type="dxa"/>
            <w:vAlign w:val="center"/>
          </w:tcPr>
          <w:p>
            <w:pPr>
              <w:pStyle w:val="16"/>
            </w:pPr>
            <w:r>
              <w:t>≤5万元</w:t>
            </w:r>
          </w:p>
        </w:tc>
        <w:tc>
          <w:tcPr>
            <w:tcW w:w="2268" w:type="dxa"/>
            <w:vAlign w:val="center"/>
          </w:tcPr>
          <w:p>
            <w:pPr>
              <w:pStyle w:val="16"/>
            </w:pPr>
            <w:r>
              <w:t>2021年年度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提升救助人的生活质量</w:t>
            </w:r>
          </w:p>
        </w:tc>
        <w:tc>
          <w:tcPr>
            <w:tcW w:w="2835" w:type="dxa"/>
            <w:vAlign w:val="center"/>
          </w:tcPr>
          <w:p>
            <w:pPr>
              <w:pStyle w:val="16"/>
            </w:pPr>
            <w:r>
              <w:t>提升救助人的生活质量</w:t>
            </w:r>
          </w:p>
        </w:tc>
        <w:tc>
          <w:tcPr>
            <w:tcW w:w="2551" w:type="dxa"/>
            <w:vAlign w:val="center"/>
          </w:tcPr>
          <w:p>
            <w:pPr>
              <w:pStyle w:val="16"/>
            </w:pPr>
            <w:r>
              <w:t>显著</w:t>
            </w:r>
          </w:p>
        </w:tc>
        <w:tc>
          <w:tcPr>
            <w:tcW w:w="2268" w:type="dxa"/>
            <w:vAlign w:val="center"/>
          </w:tcPr>
          <w:p>
            <w:pPr>
              <w:pStyle w:val="16"/>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救助人员满意度</w:t>
            </w:r>
          </w:p>
        </w:tc>
        <w:tc>
          <w:tcPr>
            <w:tcW w:w="2835" w:type="dxa"/>
            <w:vAlign w:val="center"/>
          </w:tcPr>
          <w:p>
            <w:pPr>
              <w:pStyle w:val="16"/>
            </w:pPr>
            <w:r>
              <w:t>救助人员满意度</w:t>
            </w:r>
          </w:p>
        </w:tc>
        <w:tc>
          <w:tcPr>
            <w:tcW w:w="2551" w:type="dxa"/>
            <w:vAlign w:val="center"/>
          </w:tcPr>
          <w:p>
            <w:pPr>
              <w:pStyle w:val="16"/>
            </w:pPr>
            <w:r>
              <w:t>≥95%</w:t>
            </w:r>
          </w:p>
        </w:tc>
        <w:tc>
          <w:tcPr>
            <w:tcW w:w="2268"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4、办公家具采购经费绩效目标表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6"/>
            </w:pPr>
            <w:r>
              <w:t>1.通过项目的开展完成购置办公办案家具，实现干警办公办案满意程度。</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办公桌椅</w:t>
            </w:r>
          </w:p>
        </w:tc>
        <w:tc>
          <w:tcPr>
            <w:tcW w:w="2835" w:type="dxa"/>
            <w:vAlign w:val="center"/>
          </w:tcPr>
          <w:p>
            <w:pPr>
              <w:pStyle w:val="16"/>
            </w:pPr>
            <w:r>
              <w:t>计划采购数量</w:t>
            </w:r>
          </w:p>
        </w:tc>
        <w:tc>
          <w:tcPr>
            <w:tcW w:w="2551" w:type="dxa"/>
            <w:vAlign w:val="center"/>
          </w:tcPr>
          <w:p>
            <w:pPr>
              <w:pStyle w:val="16"/>
            </w:pPr>
            <w:r>
              <w:t>＝174个</w:t>
            </w:r>
          </w:p>
        </w:tc>
        <w:tc>
          <w:tcPr>
            <w:tcW w:w="2268" w:type="dxa"/>
            <w:vAlign w:val="center"/>
          </w:tcPr>
          <w:p>
            <w:pPr>
              <w:pStyle w:val="16"/>
            </w:pPr>
            <w: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文件柜</w:t>
            </w:r>
          </w:p>
        </w:tc>
        <w:tc>
          <w:tcPr>
            <w:tcW w:w="2835" w:type="dxa"/>
            <w:vAlign w:val="center"/>
          </w:tcPr>
          <w:p>
            <w:pPr>
              <w:pStyle w:val="16"/>
            </w:pPr>
            <w:r>
              <w:t>计划采购数量</w:t>
            </w:r>
          </w:p>
        </w:tc>
        <w:tc>
          <w:tcPr>
            <w:tcW w:w="2551" w:type="dxa"/>
            <w:vAlign w:val="center"/>
          </w:tcPr>
          <w:p>
            <w:pPr>
              <w:pStyle w:val="16"/>
            </w:pPr>
            <w:r>
              <w:t>＝38个</w:t>
            </w:r>
          </w:p>
        </w:tc>
        <w:tc>
          <w:tcPr>
            <w:tcW w:w="2268" w:type="dxa"/>
            <w:vAlign w:val="center"/>
          </w:tcPr>
          <w:p>
            <w:pPr>
              <w:pStyle w:val="16"/>
            </w:pPr>
            <w: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床</w:t>
            </w:r>
          </w:p>
        </w:tc>
        <w:tc>
          <w:tcPr>
            <w:tcW w:w="2835" w:type="dxa"/>
            <w:vAlign w:val="center"/>
          </w:tcPr>
          <w:p>
            <w:pPr>
              <w:pStyle w:val="16"/>
            </w:pPr>
            <w:r>
              <w:t>计划采购数量</w:t>
            </w:r>
          </w:p>
        </w:tc>
        <w:tc>
          <w:tcPr>
            <w:tcW w:w="2551" w:type="dxa"/>
            <w:vAlign w:val="center"/>
          </w:tcPr>
          <w:p>
            <w:pPr>
              <w:pStyle w:val="16"/>
            </w:pPr>
            <w:r>
              <w:t>＝16个</w:t>
            </w:r>
          </w:p>
        </w:tc>
        <w:tc>
          <w:tcPr>
            <w:tcW w:w="2268" w:type="dxa"/>
            <w:vAlign w:val="center"/>
          </w:tcPr>
          <w:p>
            <w:pPr>
              <w:pStyle w:val="16"/>
            </w:pPr>
            <w: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毛巾架</w:t>
            </w:r>
          </w:p>
        </w:tc>
        <w:tc>
          <w:tcPr>
            <w:tcW w:w="2835" w:type="dxa"/>
            <w:vAlign w:val="center"/>
          </w:tcPr>
          <w:p>
            <w:pPr>
              <w:pStyle w:val="16"/>
            </w:pPr>
            <w:r>
              <w:t>计划采购数量</w:t>
            </w:r>
          </w:p>
        </w:tc>
        <w:tc>
          <w:tcPr>
            <w:tcW w:w="2551" w:type="dxa"/>
            <w:vAlign w:val="center"/>
          </w:tcPr>
          <w:p>
            <w:pPr>
              <w:pStyle w:val="16"/>
            </w:pPr>
            <w:r>
              <w:t>＝34个</w:t>
            </w:r>
          </w:p>
        </w:tc>
        <w:tc>
          <w:tcPr>
            <w:tcW w:w="2268" w:type="dxa"/>
            <w:vAlign w:val="center"/>
          </w:tcPr>
          <w:p>
            <w:pPr>
              <w:pStyle w:val="16"/>
            </w:pPr>
            <w: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沙发及茶几</w:t>
            </w:r>
          </w:p>
        </w:tc>
        <w:tc>
          <w:tcPr>
            <w:tcW w:w="2835" w:type="dxa"/>
            <w:vAlign w:val="center"/>
          </w:tcPr>
          <w:p>
            <w:pPr>
              <w:pStyle w:val="16"/>
            </w:pPr>
            <w:r>
              <w:t>计划采购数量</w:t>
            </w:r>
          </w:p>
        </w:tc>
        <w:tc>
          <w:tcPr>
            <w:tcW w:w="2551" w:type="dxa"/>
            <w:vAlign w:val="center"/>
          </w:tcPr>
          <w:p>
            <w:pPr>
              <w:pStyle w:val="16"/>
            </w:pPr>
            <w:r>
              <w:t>＝27个</w:t>
            </w:r>
          </w:p>
        </w:tc>
        <w:tc>
          <w:tcPr>
            <w:tcW w:w="2268" w:type="dxa"/>
            <w:vAlign w:val="center"/>
          </w:tcPr>
          <w:p>
            <w:pPr>
              <w:pStyle w:val="16"/>
            </w:pPr>
            <w: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验收合格率</w:t>
            </w:r>
          </w:p>
        </w:tc>
        <w:tc>
          <w:tcPr>
            <w:tcW w:w="2835" w:type="dxa"/>
            <w:vAlign w:val="center"/>
          </w:tcPr>
          <w:p>
            <w:pPr>
              <w:pStyle w:val="16"/>
            </w:pPr>
            <w:r>
              <w:t>验收合格的设备数量占总设备数量的比值</w:t>
            </w:r>
          </w:p>
        </w:tc>
        <w:tc>
          <w:tcPr>
            <w:tcW w:w="2551" w:type="dxa"/>
            <w:vAlign w:val="center"/>
          </w:tcPr>
          <w:p>
            <w:pPr>
              <w:pStyle w:val="16"/>
            </w:pPr>
            <w:r>
              <w:t>＝100%</w:t>
            </w:r>
          </w:p>
        </w:tc>
        <w:tc>
          <w:tcPr>
            <w:tcW w:w="2268" w:type="dxa"/>
            <w:vAlign w:val="center"/>
          </w:tcPr>
          <w:p>
            <w:pPr>
              <w:pStyle w:val="16"/>
            </w:pPr>
            <w:r>
              <w:t>《河北省党政机关办公家具采购标准》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设备计划执行率</w:t>
            </w:r>
          </w:p>
        </w:tc>
        <w:tc>
          <w:tcPr>
            <w:tcW w:w="2835" w:type="dxa"/>
            <w:vAlign w:val="center"/>
          </w:tcPr>
          <w:p>
            <w:pPr>
              <w:pStyle w:val="16"/>
            </w:pPr>
            <w:r>
              <w:t>按照计划及时购买的设备占计划购买的设备</w:t>
            </w:r>
          </w:p>
        </w:tc>
        <w:tc>
          <w:tcPr>
            <w:tcW w:w="2551" w:type="dxa"/>
            <w:vAlign w:val="center"/>
          </w:tcPr>
          <w:p>
            <w:pPr>
              <w:pStyle w:val="16"/>
            </w:pPr>
            <w:r>
              <w:t>＝100%</w:t>
            </w:r>
          </w:p>
        </w:tc>
        <w:tc>
          <w:tcPr>
            <w:tcW w:w="2268" w:type="dxa"/>
            <w:vAlign w:val="center"/>
          </w:tcPr>
          <w:p>
            <w:pPr>
              <w:pStyle w:val="16"/>
            </w:pPr>
            <w:r>
              <w:t>3月底完成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单位购置成本</w:t>
            </w:r>
          </w:p>
        </w:tc>
        <w:tc>
          <w:tcPr>
            <w:tcW w:w="2835" w:type="dxa"/>
            <w:vAlign w:val="center"/>
          </w:tcPr>
          <w:p>
            <w:pPr>
              <w:pStyle w:val="16"/>
            </w:pPr>
            <w:r>
              <w:t>计划采购单价</w:t>
            </w:r>
          </w:p>
        </w:tc>
        <w:tc>
          <w:tcPr>
            <w:tcW w:w="2551" w:type="dxa"/>
            <w:vAlign w:val="center"/>
          </w:tcPr>
          <w:p>
            <w:pPr>
              <w:pStyle w:val="16"/>
            </w:pPr>
            <w:r>
              <w:t>＝10.11万元</w:t>
            </w:r>
          </w:p>
        </w:tc>
        <w:tc>
          <w:tcPr>
            <w:tcW w:w="2268" w:type="dxa"/>
            <w:vAlign w:val="center"/>
          </w:tcPr>
          <w:p>
            <w:pPr>
              <w:pStyle w:val="16"/>
            </w:pPr>
            <w:r>
              <w:t>三方询价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单位购置成本</w:t>
            </w:r>
          </w:p>
        </w:tc>
        <w:tc>
          <w:tcPr>
            <w:tcW w:w="2835" w:type="dxa"/>
            <w:vAlign w:val="center"/>
          </w:tcPr>
          <w:p>
            <w:pPr>
              <w:pStyle w:val="16"/>
            </w:pPr>
            <w:r>
              <w:t>计划采购单价</w:t>
            </w:r>
          </w:p>
        </w:tc>
        <w:tc>
          <w:tcPr>
            <w:tcW w:w="2551" w:type="dxa"/>
            <w:vAlign w:val="center"/>
          </w:tcPr>
          <w:p>
            <w:pPr>
              <w:pStyle w:val="16"/>
            </w:pPr>
            <w:r>
              <w:t>＝4.8万元</w:t>
            </w:r>
          </w:p>
        </w:tc>
        <w:tc>
          <w:tcPr>
            <w:tcW w:w="2268" w:type="dxa"/>
            <w:vAlign w:val="center"/>
          </w:tcPr>
          <w:p>
            <w:pPr>
              <w:pStyle w:val="16"/>
            </w:pPr>
            <w:r>
              <w:t>三方询价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单位购置成本</w:t>
            </w:r>
          </w:p>
        </w:tc>
        <w:tc>
          <w:tcPr>
            <w:tcW w:w="2835" w:type="dxa"/>
            <w:vAlign w:val="center"/>
          </w:tcPr>
          <w:p>
            <w:pPr>
              <w:pStyle w:val="16"/>
            </w:pPr>
            <w:r>
              <w:t>计划采购单价</w:t>
            </w:r>
          </w:p>
        </w:tc>
        <w:tc>
          <w:tcPr>
            <w:tcW w:w="2551" w:type="dxa"/>
            <w:vAlign w:val="center"/>
          </w:tcPr>
          <w:p>
            <w:pPr>
              <w:pStyle w:val="16"/>
            </w:pPr>
            <w:r>
              <w:t>＝1.31万元</w:t>
            </w:r>
          </w:p>
        </w:tc>
        <w:tc>
          <w:tcPr>
            <w:tcW w:w="2268" w:type="dxa"/>
            <w:vAlign w:val="center"/>
          </w:tcPr>
          <w:p>
            <w:pPr>
              <w:pStyle w:val="16"/>
            </w:pPr>
            <w:r>
              <w:t>三方询价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单位购置成本</w:t>
            </w:r>
          </w:p>
        </w:tc>
        <w:tc>
          <w:tcPr>
            <w:tcW w:w="2835" w:type="dxa"/>
            <w:vAlign w:val="center"/>
          </w:tcPr>
          <w:p>
            <w:pPr>
              <w:pStyle w:val="16"/>
            </w:pPr>
            <w:r>
              <w:t>计划采购单价</w:t>
            </w:r>
          </w:p>
        </w:tc>
        <w:tc>
          <w:tcPr>
            <w:tcW w:w="2551" w:type="dxa"/>
            <w:vAlign w:val="center"/>
          </w:tcPr>
          <w:p>
            <w:pPr>
              <w:pStyle w:val="16"/>
            </w:pPr>
            <w:r>
              <w:t>＝0.19万元</w:t>
            </w:r>
          </w:p>
        </w:tc>
        <w:tc>
          <w:tcPr>
            <w:tcW w:w="2268" w:type="dxa"/>
            <w:vAlign w:val="center"/>
          </w:tcPr>
          <w:p>
            <w:pPr>
              <w:pStyle w:val="16"/>
            </w:pPr>
            <w:r>
              <w:t>三方询价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单位购置成本</w:t>
            </w:r>
          </w:p>
        </w:tc>
        <w:tc>
          <w:tcPr>
            <w:tcW w:w="2835" w:type="dxa"/>
            <w:vAlign w:val="center"/>
          </w:tcPr>
          <w:p>
            <w:pPr>
              <w:pStyle w:val="16"/>
            </w:pPr>
            <w:r>
              <w:t>计划采购单价</w:t>
            </w:r>
          </w:p>
        </w:tc>
        <w:tc>
          <w:tcPr>
            <w:tcW w:w="2551" w:type="dxa"/>
            <w:vAlign w:val="center"/>
          </w:tcPr>
          <w:p>
            <w:pPr>
              <w:pStyle w:val="16"/>
            </w:pPr>
            <w:r>
              <w:t>＝1.2万元</w:t>
            </w:r>
          </w:p>
        </w:tc>
        <w:tc>
          <w:tcPr>
            <w:tcW w:w="2268" w:type="dxa"/>
            <w:vAlign w:val="center"/>
          </w:tcPr>
          <w:p>
            <w:pPr>
              <w:pStyle w:val="16"/>
            </w:pPr>
            <w:r>
              <w:t>三方询价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业务保障能力的提升</w:t>
            </w:r>
          </w:p>
        </w:tc>
        <w:tc>
          <w:tcPr>
            <w:tcW w:w="2835" w:type="dxa"/>
            <w:vAlign w:val="center"/>
          </w:tcPr>
          <w:p>
            <w:pPr>
              <w:pStyle w:val="16"/>
            </w:pPr>
            <w:r>
              <w:t>购置业务保障能力提升</w:t>
            </w:r>
          </w:p>
        </w:tc>
        <w:tc>
          <w:tcPr>
            <w:tcW w:w="2551" w:type="dxa"/>
            <w:vAlign w:val="center"/>
          </w:tcPr>
          <w:p>
            <w:pPr>
              <w:pStyle w:val="16"/>
            </w:pPr>
            <w:r>
              <w:t>≥30%</w:t>
            </w:r>
          </w:p>
        </w:tc>
        <w:tc>
          <w:tcPr>
            <w:tcW w:w="2268" w:type="dxa"/>
            <w:vAlign w:val="center"/>
          </w:tcPr>
          <w:p>
            <w:pPr>
              <w:pStyle w:val="16"/>
            </w:pPr>
            <w:r>
              <w:t>与往年业务质量相比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社会大众及企业满意程度</w:t>
            </w:r>
          </w:p>
        </w:tc>
        <w:tc>
          <w:tcPr>
            <w:tcW w:w="2835" w:type="dxa"/>
            <w:vAlign w:val="center"/>
          </w:tcPr>
          <w:p>
            <w:pPr>
              <w:pStyle w:val="16"/>
            </w:pPr>
            <w:r>
              <w:t>社会大众及企业满意程度</w:t>
            </w:r>
          </w:p>
        </w:tc>
        <w:tc>
          <w:tcPr>
            <w:tcW w:w="2551" w:type="dxa"/>
            <w:vAlign w:val="center"/>
          </w:tcPr>
          <w:p>
            <w:pPr>
              <w:pStyle w:val="16"/>
            </w:pPr>
            <w:r>
              <w:t>≥95%</w:t>
            </w:r>
          </w:p>
        </w:tc>
        <w:tc>
          <w:tcPr>
            <w:tcW w:w="2268"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5、档案目标管理5A复检经费绩效目标表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6"/>
            </w:pPr>
            <w:r>
              <w:t>1.通过档案5A升级复检，使我院档案规划更进一步完善</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复检测评项</w:t>
            </w:r>
          </w:p>
        </w:tc>
        <w:tc>
          <w:tcPr>
            <w:tcW w:w="2835" w:type="dxa"/>
            <w:vAlign w:val="center"/>
          </w:tcPr>
          <w:p>
            <w:pPr>
              <w:pStyle w:val="16"/>
            </w:pPr>
            <w:r>
              <w:t>复检测评项数量</w:t>
            </w:r>
          </w:p>
        </w:tc>
        <w:tc>
          <w:tcPr>
            <w:tcW w:w="2551" w:type="dxa"/>
            <w:vAlign w:val="center"/>
          </w:tcPr>
          <w:p>
            <w:pPr>
              <w:pStyle w:val="16"/>
            </w:pPr>
            <w:r>
              <w:t>8项</w:t>
            </w:r>
          </w:p>
        </w:tc>
        <w:tc>
          <w:tcPr>
            <w:tcW w:w="2268" w:type="dxa"/>
            <w:vAlign w:val="center"/>
          </w:tcPr>
          <w:p>
            <w:pPr>
              <w:pStyle w:val="16"/>
            </w:pPr>
            <w:r>
              <w:t>档案工作目标管理认定办法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复检验收率</w:t>
            </w:r>
          </w:p>
        </w:tc>
        <w:tc>
          <w:tcPr>
            <w:tcW w:w="2835" w:type="dxa"/>
            <w:vAlign w:val="center"/>
          </w:tcPr>
          <w:p>
            <w:pPr>
              <w:pStyle w:val="16"/>
            </w:pPr>
            <w:r>
              <w:t>复检验收合格率</w:t>
            </w:r>
          </w:p>
        </w:tc>
        <w:tc>
          <w:tcPr>
            <w:tcW w:w="2551" w:type="dxa"/>
            <w:vAlign w:val="center"/>
          </w:tcPr>
          <w:p>
            <w:pPr>
              <w:pStyle w:val="16"/>
            </w:pPr>
            <w:r>
              <w:t>≤5%</w:t>
            </w:r>
          </w:p>
        </w:tc>
        <w:tc>
          <w:tcPr>
            <w:tcW w:w="2268" w:type="dxa"/>
            <w:vAlign w:val="center"/>
          </w:tcPr>
          <w:p>
            <w:pPr>
              <w:pStyle w:val="16"/>
            </w:pPr>
            <w:r>
              <w:t>档案工作目标管理认定办法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验收时间</w:t>
            </w:r>
          </w:p>
        </w:tc>
        <w:tc>
          <w:tcPr>
            <w:tcW w:w="2835" w:type="dxa"/>
            <w:vAlign w:val="center"/>
          </w:tcPr>
          <w:p>
            <w:pPr>
              <w:pStyle w:val="16"/>
            </w:pPr>
            <w:r>
              <w:t>档案复检验收时间</w:t>
            </w:r>
          </w:p>
        </w:tc>
        <w:tc>
          <w:tcPr>
            <w:tcW w:w="2551" w:type="dxa"/>
            <w:vAlign w:val="center"/>
          </w:tcPr>
          <w:p>
            <w:pPr>
              <w:pStyle w:val="16"/>
            </w:pPr>
            <w:r>
              <w:t>6月</w:t>
            </w:r>
          </w:p>
        </w:tc>
        <w:tc>
          <w:tcPr>
            <w:tcW w:w="2268" w:type="dxa"/>
            <w:vAlign w:val="center"/>
          </w:tcPr>
          <w:p>
            <w:pPr>
              <w:pStyle w:val="16"/>
            </w:pPr>
            <w:r>
              <w:t>按照合同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测评费用</w:t>
            </w:r>
          </w:p>
        </w:tc>
        <w:tc>
          <w:tcPr>
            <w:tcW w:w="2835" w:type="dxa"/>
            <w:vAlign w:val="center"/>
          </w:tcPr>
          <w:p>
            <w:pPr>
              <w:pStyle w:val="16"/>
            </w:pPr>
            <w:r>
              <w:t>第三方测评费用</w:t>
            </w:r>
          </w:p>
        </w:tc>
        <w:tc>
          <w:tcPr>
            <w:tcW w:w="2551" w:type="dxa"/>
            <w:vAlign w:val="center"/>
          </w:tcPr>
          <w:p>
            <w:pPr>
              <w:pStyle w:val="16"/>
            </w:pPr>
            <w:r>
              <w:t>3.65万元/项</w:t>
            </w:r>
          </w:p>
        </w:tc>
        <w:tc>
          <w:tcPr>
            <w:tcW w:w="2268" w:type="dxa"/>
            <w:vAlign w:val="center"/>
          </w:tcPr>
          <w:p>
            <w:pPr>
              <w:pStyle w:val="16"/>
            </w:pPr>
            <w:r>
              <w:t>档案工作目标管理认定办法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提升工作效率</w:t>
            </w:r>
          </w:p>
        </w:tc>
        <w:tc>
          <w:tcPr>
            <w:tcW w:w="2835" w:type="dxa"/>
            <w:vAlign w:val="center"/>
          </w:tcPr>
          <w:p>
            <w:pPr>
              <w:pStyle w:val="16"/>
            </w:pPr>
            <w:r>
              <w:t>保障工作正常开展</w:t>
            </w:r>
          </w:p>
        </w:tc>
        <w:tc>
          <w:tcPr>
            <w:tcW w:w="2551" w:type="dxa"/>
            <w:vAlign w:val="center"/>
          </w:tcPr>
          <w:p>
            <w:pPr>
              <w:pStyle w:val="16"/>
            </w:pPr>
            <w:r>
              <w:t>显著</w:t>
            </w:r>
          </w:p>
        </w:tc>
        <w:tc>
          <w:tcPr>
            <w:tcW w:w="2268" w:type="dxa"/>
            <w:vAlign w:val="center"/>
          </w:tcPr>
          <w:p>
            <w:pPr>
              <w:pStyle w:val="16"/>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办公人员满意度</w:t>
            </w:r>
          </w:p>
        </w:tc>
        <w:tc>
          <w:tcPr>
            <w:tcW w:w="2835" w:type="dxa"/>
            <w:vAlign w:val="center"/>
          </w:tcPr>
          <w:p>
            <w:pPr>
              <w:pStyle w:val="16"/>
            </w:pPr>
            <w:r>
              <w:t>办公人员满意度</w:t>
            </w:r>
          </w:p>
        </w:tc>
        <w:tc>
          <w:tcPr>
            <w:tcW w:w="2551" w:type="dxa"/>
            <w:vAlign w:val="center"/>
          </w:tcPr>
          <w:p>
            <w:pPr>
              <w:pStyle w:val="16"/>
            </w:pPr>
            <w:r>
              <w:t>≥90%</w:t>
            </w:r>
          </w:p>
        </w:tc>
        <w:tc>
          <w:tcPr>
            <w:tcW w:w="2268"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6、关于提前下达2022年省级基层公检法司转移支付资金的通知（业务费）冀财政法【2021】63号绩效目标表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6"/>
            </w:pPr>
            <w:r>
              <w:t>1.通过保障月用电量1515度、平均月出差次数74次等，为检察工作顺利开展提供保障，提高执法水平和办案质量。</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用电量</w:t>
            </w:r>
          </w:p>
        </w:tc>
        <w:tc>
          <w:tcPr>
            <w:tcW w:w="2835" w:type="dxa"/>
            <w:vAlign w:val="center"/>
          </w:tcPr>
          <w:p>
            <w:pPr>
              <w:pStyle w:val="16"/>
            </w:pPr>
            <w:r>
              <w:t>平均月电费数量</w:t>
            </w:r>
          </w:p>
        </w:tc>
        <w:tc>
          <w:tcPr>
            <w:tcW w:w="2551" w:type="dxa"/>
            <w:vAlign w:val="center"/>
          </w:tcPr>
          <w:p>
            <w:pPr>
              <w:pStyle w:val="16"/>
            </w:pPr>
            <w:r>
              <w:t>≥1515度</w:t>
            </w:r>
          </w:p>
        </w:tc>
        <w:tc>
          <w:tcPr>
            <w:tcW w:w="2268" w:type="dxa"/>
            <w:vAlign w:val="center"/>
          </w:tcPr>
          <w:p>
            <w:pPr>
              <w:pStyle w:val="16"/>
            </w:pPr>
            <w:r>
              <w:t>依据往年统计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出差次数</w:t>
            </w:r>
          </w:p>
        </w:tc>
        <w:tc>
          <w:tcPr>
            <w:tcW w:w="2835" w:type="dxa"/>
            <w:vAlign w:val="center"/>
          </w:tcPr>
          <w:p>
            <w:pPr>
              <w:pStyle w:val="16"/>
            </w:pPr>
            <w:r>
              <w:t>平均月出差次数</w:t>
            </w:r>
          </w:p>
        </w:tc>
        <w:tc>
          <w:tcPr>
            <w:tcW w:w="2551" w:type="dxa"/>
            <w:vAlign w:val="center"/>
          </w:tcPr>
          <w:p>
            <w:pPr>
              <w:pStyle w:val="16"/>
            </w:pPr>
            <w:r>
              <w:t>≥74次</w:t>
            </w:r>
          </w:p>
        </w:tc>
        <w:tc>
          <w:tcPr>
            <w:tcW w:w="2268" w:type="dxa"/>
            <w:vAlign w:val="center"/>
          </w:tcPr>
          <w:p>
            <w:pPr>
              <w:pStyle w:val="16"/>
            </w:pPr>
            <w:r>
              <w:t>依据往年统计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其他商品数量</w:t>
            </w:r>
          </w:p>
        </w:tc>
        <w:tc>
          <w:tcPr>
            <w:tcW w:w="2835" w:type="dxa"/>
            <w:vAlign w:val="center"/>
          </w:tcPr>
          <w:p>
            <w:pPr>
              <w:pStyle w:val="16"/>
            </w:pPr>
            <w:r>
              <w:t>其他支出费用</w:t>
            </w:r>
          </w:p>
        </w:tc>
        <w:tc>
          <w:tcPr>
            <w:tcW w:w="2551" w:type="dxa"/>
            <w:vAlign w:val="center"/>
          </w:tcPr>
          <w:p>
            <w:pPr>
              <w:pStyle w:val="16"/>
            </w:pPr>
            <w:r>
              <w:t>≥5个</w:t>
            </w:r>
          </w:p>
        </w:tc>
        <w:tc>
          <w:tcPr>
            <w:tcW w:w="2268" w:type="dxa"/>
            <w:vAlign w:val="center"/>
          </w:tcPr>
          <w:p>
            <w:pPr>
              <w:pStyle w:val="16"/>
            </w:pPr>
            <w:r>
              <w:t>依据往年统计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办公达标率</w:t>
            </w:r>
          </w:p>
        </w:tc>
        <w:tc>
          <w:tcPr>
            <w:tcW w:w="2835" w:type="dxa"/>
            <w:vAlign w:val="center"/>
          </w:tcPr>
          <w:p>
            <w:pPr>
              <w:pStyle w:val="16"/>
            </w:pPr>
            <w:r>
              <w:t>每个人办公耗材及其他业务标准率</w:t>
            </w:r>
          </w:p>
        </w:tc>
        <w:tc>
          <w:tcPr>
            <w:tcW w:w="2551" w:type="dxa"/>
            <w:vAlign w:val="center"/>
          </w:tcPr>
          <w:p>
            <w:pPr>
              <w:pStyle w:val="16"/>
            </w:pPr>
            <w:r>
              <w:t>100%</w:t>
            </w:r>
          </w:p>
        </w:tc>
        <w:tc>
          <w:tcPr>
            <w:tcW w:w="2268" w:type="dxa"/>
            <w:vAlign w:val="center"/>
          </w:tcPr>
          <w:p>
            <w:pPr>
              <w:pStyle w:val="16"/>
            </w:pPr>
            <w:r>
              <w:t>业务标准率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执行时间</w:t>
            </w:r>
          </w:p>
        </w:tc>
        <w:tc>
          <w:tcPr>
            <w:tcW w:w="2835" w:type="dxa"/>
            <w:vAlign w:val="center"/>
          </w:tcPr>
          <w:p>
            <w:pPr>
              <w:pStyle w:val="16"/>
            </w:pPr>
            <w:r>
              <w:t>执行时间购买耗材及其他</w:t>
            </w:r>
          </w:p>
        </w:tc>
        <w:tc>
          <w:tcPr>
            <w:tcW w:w="2551" w:type="dxa"/>
            <w:vAlign w:val="center"/>
          </w:tcPr>
          <w:p>
            <w:pPr>
              <w:pStyle w:val="16"/>
            </w:pPr>
            <w:r>
              <w:t>≤12月底</w:t>
            </w:r>
          </w:p>
        </w:tc>
        <w:tc>
          <w:tcPr>
            <w:tcW w:w="2268" w:type="dxa"/>
            <w:vAlign w:val="center"/>
          </w:tcPr>
          <w:p>
            <w:pPr>
              <w:pStyle w:val="16"/>
            </w:pPr>
            <w:r>
              <w:t>依据往年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电费用成本</w:t>
            </w:r>
          </w:p>
        </w:tc>
        <w:tc>
          <w:tcPr>
            <w:tcW w:w="2835" w:type="dxa"/>
            <w:vAlign w:val="center"/>
          </w:tcPr>
          <w:p>
            <w:pPr>
              <w:pStyle w:val="16"/>
            </w:pPr>
            <w:r>
              <w:t>反映项目平均月电费的费用成本</w:t>
            </w:r>
          </w:p>
        </w:tc>
        <w:tc>
          <w:tcPr>
            <w:tcW w:w="2551" w:type="dxa"/>
            <w:vAlign w:val="center"/>
          </w:tcPr>
          <w:p>
            <w:pPr>
              <w:pStyle w:val="16"/>
            </w:pPr>
            <w:r>
              <w:t>833.5元/月</w:t>
            </w:r>
          </w:p>
        </w:tc>
        <w:tc>
          <w:tcPr>
            <w:tcW w:w="2268" w:type="dxa"/>
            <w:vAlign w:val="center"/>
          </w:tcPr>
          <w:p>
            <w:pPr>
              <w:pStyle w:val="16"/>
            </w:pPr>
            <w:r>
              <w:t>依据往年统计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出差费用</w:t>
            </w:r>
          </w:p>
        </w:tc>
        <w:tc>
          <w:tcPr>
            <w:tcW w:w="2835" w:type="dxa"/>
            <w:vAlign w:val="center"/>
          </w:tcPr>
          <w:p>
            <w:pPr>
              <w:pStyle w:val="16"/>
            </w:pPr>
            <w:r>
              <w:t>反映项目出差费用情况</w:t>
            </w:r>
          </w:p>
        </w:tc>
        <w:tc>
          <w:tcPr>
            <w:tcW w:w="2551" w:type="dxa"/>
            <w:vAlign w:val="center"/>
          </w:tcPr>
          <w:p>
            <w:pPr>
              <w:pStyle w:val="16"/>
            </w:pPr>
            <w:r>
              <w:t>≥13320元/月</w:t>
            </w:r>
          </w:p>
        </w:tc>
        <w:tc>
          <w:tcPr>
            <w:tcW w:w="2268" w:type="dxa"/>
            <w:vAlign w:val="center"/>
          </w:tcPr>
          <w:p>
            <w:pPr>
              <w:pStyle w:val="16"/>
            </w:pPr>
            <w:r>
              <w:t>依据往年统计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其他支出费用</w:t>
            </w:r>
          </w:p>
        </w:tc>
        <w:tc>
          <w:tcPr>
            <w:tcW w:w="2835" w:type="dxa"/>
            <w:vAlign w:val="center"/>
          </w:tcPr>
          <w:p>
            <w:pPr>
              <w:pStyle w:val="16"/>
            </w:pPr>
            <w:r>
              <w:t>反映其他支出费用情况</w:t>
            </w:r>
          </w:p>
        </w:tc>
        <w:tc>
          <w:tcPr>
            <w:tcW w:w="2551" w:type="dxa"/>
            <w:vAlign w:val="center"/>
          </w:tcPr>
          <w:p>
            <w:pPr>
              <w:pStyle w:val="16"/>
            </w:pPr>
            <w:r>
              <w:t>≥2166.67元/月</w:t>
            </w:r>
          </w:p>
        </w:tc>
        <w:tc>
          <w:tcPr>
            <w:tcW w:w="2268" w:type="dxa"/>
            <w:vAlign w:val="center"/>
          </w:tcPr>
          <w:p>
            <w:pPr>
              <w:pStyle w:val="16"/>
            </w:pPr>
            <w:r>
              <w:t>依据往年统计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业务保障能力的提升</w:t>
            </w:r>
          </w:p>
        </w:tc>
        <w:tc>
          <w:tcPr>
            <w:tcW w:w="2835" w:type="dxa"/>
            <w:vAlign w:val="center"/>
          </w:tcPr>
          <w:p>
            <w:pPr>
              <w:pStyle w:val="16"/>
            </w:pPr>
            <w:r>
              <w:t>反映项目对保障能力的提升情况</w:t>
            </w:r>
          </w:p>
        </w:tc>
        <w:tc>
          <w:tcPr>
            <w:tcW w:w="2551" w:type="dxa"/>
            <w:vAlign w:val="center"/>
          </w:tcPr>
          <w:p>
            <w:pPr>
              <w:pStyle w:val="16"/>
            </w:pPr>
            <w:r>
              <w:t>显著提升</w:t>
            </w:r>
          </w:p>
        </w:tc>
        <w:tc>
          <w:tcPr>
            <w:tcW w:w="2268" w:type="dxa"/>
            <w:vAlign w:val="center"/>
          </w:tcPr>
          <w:p>
            <w:pPr>
              <w:pStyle w:val="16"/>
            </w:pPr>
            <w:r>
              <w:t>与往年业务业务相比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办案人员满意度</w:t>
            </w:r>
          </w:p>
        </w:tc>
        <w:tc>
          <w:tcPr>
            <w:tcW w:w="2835" w:type="dxa"/>
            <w:vAlign w:val="center"/>
          </w:tcPr>
          <w:p>
            <w:pPr>
              <w:pStyle w:val="16"/>
            </w:pPr>
            <w:r>
              <w:t>反映办案人员的满意程度情况</w:t>
            </w:r>
          </w:p>
        </w:tc>
        <w:tc>
          <w:tcPr>
            <w:tcW w:w="2551" w:type="dxa"/>
            <w:vAlign w:val="center"/>
          </w:tcPr>
          <w:p>
            <w:pPr>
              <w:pStyle w:val="16"/>
            </w:pPr>
            <w:r>
              <w:t>≥95%</w:t>
            </w:r>
          </w:p>
        </w:tc>
        <w:tc>
          <w:tcPr>
            <w:tcW w:w="2268"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7、关于提前下达2022年省级基层公检法司转移支付资金的通知（装备款）冀财政法【2021】63号绩效目标表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6"/>
            </w:pPr>
            <w:r>
              <w:t>1.通过对我院1辆执法执勤车辆进行更新，保障工作需要，使办公人员满意度达到90%以上。</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执法执勤用车数量</w:t>
            </w:r>
          </w:p>
        </w:tc>
        <w:tc>
          <w:tcPr>
            <w:tcW w:w="2835" w:type="dxa"/>
            <w:vAlign w:val="center"/>
          </w:tcPr>
          <w:p>
            <w:pPr>
              <w:pStyle w:val="16"/>
            </w:pPr>
            <w:r>
              <w:t>反映执法执勤用车数量情况</w:t>
            </w:r>
          </w:p>
        </w:tc>
        <w:tc>
          <w:tcPr>
            <w:tcW w:w="2551" w:type="dxa"/>
            <w:vAlign w:val="center"/>
          </w:tcPr>
          <w:p>
            <w:pPr>
              <w:pStyle w:val="16"/>
            </w:pPr>
            <w:r>
              <w:t>1辆</w:t>
            </w:r>
          </w:p>
        </w:tc>
        <w:tc>
          <w:tcPr>
            <w:tcW w:w="2268" w:type="dxa"/>
            <w:vAlign w:val="center"/>
          </w:tcPr>
          <w:p>
            <w:pPr>
              <w:pStyle w:val="16"/>
            </w:pPr>
            <w:r>
              <w:t>大厂回族自治县党政机关公务用车购置购、更新审批程序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验收合格率</w:t>
            </w:r>
          </w:p>
        </w:tc>
        <w:tc>
          <w:tcPr>
            <w:tcW w:w="2835" w:type="dxa"/>
            <w:vAlign w:val="center"/>
          </w:tcPr>
          <w:p>
            <w:pPr>
              <w:pStyle w:val="16"/>
            </w:pPr>
            <w:r>
              <w:t>反映项目车辆验收合格情况</w:t>
            </w:r>
          </w:p>
          <w:p>
            <w:pPr>
              <w:pStyle w:val="16"/>
            </w:pPr>
          </w:p>
        </w:tc>
        <w:tc>
          <w:tcPr>
            <w:tcW w:w="2551" w:type="dxa"/>
            <w:vAlign w:val="center"/>
          </w:tcPr>
          <w:p>
            <w:pPr>
              <w:pStyle w:val="16"/>
            </w:pPr>
            <w:r>
              <w:t>100%</w:t>
            </w:r>
          </w:p>
        </w:tc>
        <w:tc>
          <w:tcPr>
            <w:tcW w:w="2268" w:type="dxa"/>
            <w:vAlign w:val="center"/>
          </w:tcPr>
          <w:p>
            <w:pPr>
              <w:pStyle w:val="16"/>
            </w:pPr>
            <w:r>
              <w:t>工作要求</w:t>
            </w:r>
          </w:p>
          <w:p>
            <w:pPr>
              <w:pStyle w:val="16"/>
            </w:pP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购置时间</w:t>
            </w:r>
          </w:p>
        </w:tc>
        <w:tc>
          <w:tcPr>
            <w:tcW w:w="2835" w:type="dxa"/>
            <w:vAlign w:val="center"/>
          </w:tcPr>
          <w:p>
            <w:pPr>
              <w:pStyle w:val="16"/>
            </w:pPr>
            <w:r>
              <w:t>执法执勤用车购置时间</w:t>
            </w:r>
          </w:p>
          <w:p>
            <w:pPr>
              <w:pStyle w:val="16"/>
            </w:pPr>
          </w:p>
        </w:tc>
        <w:tc>
          <w:tcPr>
            <w:tcW w:w="2551" w:type="dxa"/>
            <w:vAlign w:val="center"/>
          </w:tcPr>
          <w:p>
            <w:pPr>
              <w:pStyle w:val="16"/>
            </w:pPr>
            <w:r>
              <w:t>≤6月底</w:t>
            </w:r>
          </w:p>
        </w:tc>
        <w:tc>
          <w:tcPr>
            <w:tcW w:w="2268" w:type="dxa"/>
            <w:vAlign w:val="center"/>
          </w:tcPr>
          <w:p>
            <w:pPr>
              <w:pStyle w:val="16"/>
            </w:pPr>
            <w:r>
              <w:t>根据购置车辆时间</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成本控制率</w:t>
            </w:r>
          </w:p>
        </w:tc>
        <w:tc>
          <w:tcPr>
            <w:tcW w:w="2835" w:type="dxa"/>
            <w:vAlign w:val="center"/>
          </w:tcPr>
          <w:p>
            <w:pPr>
              <w:pStyle w:val="16"/>
            </w:pPr>
            <w:r>
              <w:t>反映车辆成本的控制情况</w:t>
            </w:r>
          </w:p>
          <w:p>
            <w:pPr>
              <w:pStyle w:val="16"/>
            </w:pPr>
          </w:p>
          <w:p>
            <w:pPr>
              <w:pStyle w:val="16"/>
            </w:pPr>
          </w:p>
        </w:tc>
        <w:tc>
          <w:tcPr>
            <w:tcW w:w="2551" w:type="dxa"/>
            <w:vAlign w:val="center"/>
          </w:tcPr>
          <w:p>
            <w:pPr>
              <w:pStyle w:val="16"/>
            </w:pPr>
            <w:r>
              <w:t>100%</w:t>
            </w:r>
          </w:p>
        </w:tc>
        <w:tc>
          <w:tcPr>
            <w:tcW w:w="2268" w:type="dxa"/>
            <w:vAlign w:val="center"/>
          </w:tcPr>
          <w:p>
            <w:pPr>
              <w:pStyle w:val="16"/>
            </w:pPr>
            <w:r>
              <w:t>根据大厂回族自治县党政机关公务用车购置、更新审批程序</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可持续影响指标</w:t>
            </w:r>
          </w:p>
        </w:tc>
        <w:tc>
          <w:tcPr>
            <w:tcW w:w="2835" w:type="dxa"/>
            <w:vAlign w:val="center"/>
          </w:tcPr>
          <w:p>
            <w:pPr>
              <w:pStyle w:val="16"/>
            </w:pPr>
            <w:r>
              <w:t>使用年限</w:t>
            </w:r>
          </w:p>
        </w:tc>
        <w:tc>
          <w:tcPr>
            <w:tcW w:w="2835" w:type="dxa"/>
            <w:vAlign w:val="center"/>
          </w:tcPr>
          <w:p>
            <w:pPr>
              <w:pStyle w:val="16"/>
            </w:pPr>
            <w:r>
              <w:t>执法执勤用车使用年限</w:t>
            </w:r>
          </w:p>
          <w:p>
            <w:pPr>
              <w:pStyle w:val="16"/>
            </w:pPr>
          </w:p>
        </w:tc>
        <w:tc>
          <w:tcPr>
            <w:tcW w:w="2551" w:type="dxa"/>
            <w:vAlign w:val="center"/>
          </w:tcPr>
          <w:p>
            <w:pPr>
              <w:pStyle w:val="16"/>
            </w:pPr>
            <w:r>
              <w:t>≥8年</w:t>
            </w:r>
          </w:p>
        </w:tc>
        <w:tc>
          <w:tcPr>
            <w:tcW w:w="2268" w:type="dxa"/>
            <w:vAlign w:val="center"/>
          </w:tcPr>
          <w:p>
            <w:pPr>
              <w:pStyle w:val="16"/>
            </w:pPr>
            <w:r>
              <w:t>行业标准</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办公人员满意度</w:t>
            </w:r>
          </w:p>
        </w:tc>
        <w:tc>
          <w:tcPr>
            <w:tcW w:w="2835" w:type="dxa"/>
            <w:vAlign w:val="center"/>
          </w:tcPr>
          <w:p>
            <w:pPr>
              <w:pStyle w:val="16"/>
            </w:pPr>
            <w:r>
              <w:t>办公人员满意度</w:t>
            </w:r>
          </w:p>
        </w:tc>
        <w:tc>
          <w:tcPr>
            <w:tcW w:w="2551" w:type="dxa"/>
            <w:vAlign w:val="center"/>
          </w:tcPr>
          <w:p>
            <w:pPr>
              <w:pStyle w:val="16"/>
            </w:pPr>
            <w:r>
              <w:t>≥90%</w:t>
            </w:r>
          </w:p>
        </w:tc>
        <w:tc>
          <w:tcPr>
            <w:tcW w:w="2268"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8、关于提前下达2022年中央政法纪检监察转移支付资金的通知（业务费）冀财政法【2021】62号绩效目标表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6"/>
            </w:pPr>
            <w:r>
              <w:t>1.通过购置5个办公耗材、进行10次科室培训、更新执法执勤车辆等措施，为检察工作顺利开展提供保障，提高执法水平和办案质量。</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办公耗材数量</w:t>
            </w:r>
          </w:p>
        </w:tc>
        <w:tc>
          <w:tcPr>
            <w:tcW w:w="2835" w:type="dxa"/>
            <w:vAlign w:val="center"/>
          </w:tcPr>
          <w:p>
            <w:pPr>
              <w:pStyle w:val="16"/>
            </w:pPr>
            <w:r>
              <w:t>反映科室办公耗材数量情况</w:t>
            </w:r>
          </w:p>
        </w:tc>
        <w:tc>
          <w:tcPr>
            <w:tcW w:w="2551" w:type="dxa"/>
            <w:vAlign w:val="center"/>
          </w:tcPr>
          <w:p>
            <w:pPr>
              <w:pStyle w:val="16"/>
            </w:pPr>
            <w:r>
              <w:t>5个</w:t>
            </w:r>
          </w:p>
        </w:tc>
        <w:tc>
          <w:tcPr>
            <w:tcW w:w="2268" w:type="dxa"/>
            <w:vAlign w:val="center"/>
          </w:tcPr>
          <w:p>
            <w:pPr>
              <w:pStyle w:val="16"/>
            </w:pPr>
            <w:r>
              <w:t>依据科室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科室印刷数量</w:t>
            </w:r>
          </w:p>
        </w:tc>
        <w:tc>
          <w:tcPr>
            <w:tcW w:w="2835" w:type="dxa"/>
            <w:vAlign w:val="center"/>
          </w:tcPr>
          <w:p>
            <w:pPr>
              <w:pStyle w:val="16"/>
            </w:pPr>
            <w:r>
              <w:t>反映科室印刷数量情况</w:t>
            </w:r>
          </w:p>
        </w:tc>
        <w:tc>
          <w:tcPr>
            <w:tcW w:w="2551" w:type="dxa"/>
            <w:vAlign w:val="center"/>
          </w:tcPr>
          <w:p>
            <w:pPr>
              <w:pStyle w:val="16"/>
            </w:pPr>
            <w:r>
              <w:t>≥5个</w:t>
            </w:r>
          </w:p>
        </w:tc>
        <w:tc>
          <w:tcPr>
            <w:tcW w:w="2268" w:type="dxa"/>
            <w:vAlign w:val="center"/>
          </w:tcPr>
          <w:p>
            <w:pPr>
              <w:pStyle w:val="16"/>
            </w:pPr>
            <w:r>
              <w:t>依据科室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科室培训数量</w:t>
            </w:r>
          </w:p>
        </w:tc>
        <w:tc>
          <w:tcPr>
            <w:tcW w:w="2835" w:type="dxa"/>
            <w:vAlign w:val="center"/>
          </w:tcPr>
          <w:p>
            <w:pPr>
              <w:pStyle w:val="16"/>
            </w:pPr>
            <w:r>
              <w:t>反映科室培训出去数量情况</w:t>
            </w:r>
          </w:p>
        </w:tc>
        <w:tc>
          <w:tcPr>
            <w:tcW w:w="2551" w:type="dxa"/>
            <w:vAlign w:val="center"/>
          </w:tcPr>
          <w:p>
            <w:pPr>
              <w:pStyle w:val="16"/>
            </w:pPr>
            <w:r>
              <w:t>≥10个</w:t>
            </w:r>
          </w:p>
        </w:tc>
        <w:tc>
          <w:tcPr>
            <w:tcW w:w="2268" w:type="dxa"/>
            <w:vAlign w:val="center"/>
          </w:tcPr>
          <w:p>
            <w:pPr>
              <w:pStyle w:val="16"/>
            </w:pPr>
            <w:r>
              <w:t>依据往年统计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科室委托业务数量</w:t>
            </w:r>
          </w:p>
        </w:tc>
        <w:tc>
          <w:tcPr>
            <w:tcW w:w="2835" w:type="dxa"/>
            <w:vAlign w:val="center"/>
          </w:tcPr>
          <w:p>
            <w:pPr>
              <w:pStyle w:val="16"/>
            </w:pPr>
            <w:r>
              <w:t>反映各科室委托数量情况</w:t>
            </w:r>
          </w:p>
        </w:tc>
        <w:tc>
          <w:tcPr>
            <w:tcW w:w="2551" w:type="dxa"/>
            <w:vAlign w:val="center"/>
          </w:tcPr>
          <w:p>
            <w:pPr>
              <w:pStyle w:val="16"/>
            </w:pPr>
            <w:r>
              <w:t>≥5个</w:t>
            </w:r>
          </w:p>
        </w:tc>
        <w:tc>
          <w:tcPr>
            <w:tcW w:w="2268" w:type="dxa"/>
            <w:vAlign w:val="center"/>
          </w:tcPr>
          <w:p>
            <w:pPr>
              <w:pStyle w:val="16"/>
            </w:pPr>
            <w:r>
              <w:t>依据科室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执法执勤车数量</w:t>
            </w:r>
          </w:p>
        </w:tc>
        <w:tc>
          <w:tcPr>
            <w:tcW w:w="2835" w:type="dxa"/>
            <w:vAlign w:val="center"/>
          </w:tcPr>
          <w:p>
            <w:pPr>
              <w:pStyle w:val="16"/>
            </w:pPr>
            <w:r>
              <w:t>反映执法执勤车数量情况</w:t>
            </w:r>
          </w:p>
        </w:tc>
        <w:tc>
          <w:tcPr>
            <w:tcW w:w="2551" w:type="dxa"/>
            <w:vAlign w:val="center"/>
          </w:tcPr>
          <w:p>
            <w:pPr>
              <w:pStyle w:val="16"/>
            </w:pPr>
            <w:r>
              <w:t>≥1个</w:t>
            </w:r>
          </w:p>
        </w:tc>
        <w:tc>
          <w:tcPr>
            <w:tcW w:w="2268" w:type="dxa"/>
            <w:vAlign w:val="center"/>
          </w:tcPr>
          <w:p>
            <w:pPr>
              <w:pStyle w:val="16"/>
            </w:pPr>
            <w:r>
              <w:t>根据大厂回族自治县党政机关公务用车购置、更新审批程序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业务标准达标率</w:t>
            </w:r>
          </w:p>
        </w:tc>
        <w:tc>
          <w:tcPr>
            <w:tcW w:w="2835" w:type="dxa"/>
            <w:vAlign w:val="center"/>
          </w:tcPr>
          <w:p>
            <w:pPr>
              <w:pStyle w:val="16"/>
            </w:pPr>
            <w:r>
              <w:t>每个人办公耗材及其他业务标准率达标率</w:t>
            </w:r>
          </w:p>
        </w:tc>
        <w:tc>
          <w:tcPr>
            <w:tcW w:w="2551" w:type="dxa"/>
            <w:vAlign w:val="center"/>
          </w:tcPr>
          <w:p>
            <w:pPr>
              <w:pStyle w:val="16"/>
            </w:pPr>
            <w:r>
              <w:t>100%</w:t>
            </w:r>
          </w:p>
        </w:tc>
        <w:tc>
          <w:tcPr>
            <w:tcW w:w="2268" w:type="dxa"/>
            <w:vAlign w:val="center"/>
          </w:tcPr>
          <w:p>
            <w:pPr>
              <w:pStyle w:val="16"/>
            </w:pPr>
            <w:r>
              <w:t>业务标准率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执行时间</w:t>
            </w:r>
          </w:p>
        </w:tc>
        <w:tc>
          <w:tcPr>
            <w:tcW w:w="2835" w:type="dxa"/>
            <w:vAlign w:val="center"/>
          </w:tcPr>
          <w:p>
            <w:pPr>
              <w:pStyle w:val="16"/>
            </w:pPr>
            <w:r>
              <w:t>执行时间购买耗材及其他</w:t>
            </w:r>
          </w:p>
        </w:tc>
        <w:tc>
          <w:tcPr>
            <w:tcW w:w="2551" w:type="dxa"/>
            <w:vAlign w:val="center"/>
          </w:tcPr>
          <w:p>
            <w:pPr>
              <w:pStyle w:val="16"/>
            </w:pPr>
            <w:r>
              <w:t>≤12月底</w:t>
            </w:r>
          </w:p>
        </w:tc>
        <w:tc>
          <w:tcPr>
            <w:tcW w:w="2268" w:type="dxa"/>
            <w:vAlign w:val="center"/>
          </w:tcPr>
          <w:p>
            <w:pPr>
              <w:pStyle w:val="16"/>
            </w:pPr>
            <w:r>
              <w:t>依据支出时间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办公耗材成本</w:t>
            </w:r>
          </w:p>
        </w:tc>
        <w:tc>
          <w:tcPr>
            <w:tcW w:w="2835" w:type="dxa"/>
            <w:vAlign w:val="center"/>
          </w:tcPr>
          <w:p>
            <w:pPr>
              <w:pStyle w:val="16"/>
            </w:pPr>
            <w:r>
              <w:t>科室月办公耗材成本</w:t>
            </w:r>
          </w:p>
        </w:tc>
        <w:tc>
          <w:tcPr>
            <w:tcW w:w="2551" w:type="dxa"/>
            <w:vAlign w:val="center"/>
          </w:tcPr>
          <w:p>
            <w:pPr>
              <w:pStyle w:val="16"/>
            </w:pPr>
            <w:r>
              <w:t>1000元/月/ 科室</w:t>
            </w:r>
          </w:p>
        </w:tc>
        <w:tc>
          <w:tcPr>
            <w:tcW w:w="2268" w:type="dxa"/>
            <w:vAlign w:val="center"/>
          </w:tcPr>
          <w:p>
            <w:pPr>
              <w:pStyle w:val="16"/>
            </w:pPr>
            <w:r>
              <w:t>依据往年统计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科室印刷数量成本</w:t>
            </w:r>
          </w:p>
        </w:tc>
        <w:tc>
          <w:tcPr>
            <w:tcW w:w="2835" w:type="dxa"/>
            <w:vAlign w:val="center"/>
          </w:tcPr>
          <w:p>
            <w:pPr>
              <w:pStyle w:val="16"/>
            </w:pPr>
            <w:r>
              <w:t>科室印刷 数量费用</w:t>
            </w:r>
          </w:p>
        </w:tc>
        <w:tc>
          <w:tcPr>
            <w:tcW w:w="2551" w:type="dxa"/>
            <w:vAlign w:val="center"/>
          </w:tcPr>
          <w:p>
            <w:pPr>
              <w:pStyle w:val="16"/>
            </w:pPr>
            <w:r>
              <w:t>≥2166.67元/月/科室</w:t>
            </w:r>
          </w:p>
        </w:tc>
        <w:tc>
          <w:tcPr>
            <w:tcW w:w="2268" w:type="dxa"/>
            <w:vAlign w:val="center"/>
          </w:tcPr>
          <w:p>
            <w:pPr>
              <w:pStyle w:val="16"/>
            </w:pPr>
            <w:r>
              <w:t>依据往年统计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科室培训</w:t>
            </w:r>
          </w:p>
        </w:tc>
        <w:tc>
          <w:tcPr>
            <w:tcW w:w="2835" w:type="dxa"/>
            <w:vAlign w:val="center"/>
          </w:tcPr>
          <w:p>
            <w:pPr>
              <w:pStyle w:val="16"/>
            </w:pPr>
            <w:r>
              <w:t>科室培训费用</w:t>
            </w:r>
          </w:p>
        </w:tc>
        <w:tc>
          <w:tcPr>
            <w:tcW w:w="2551" w:type="dxa"/>
            <w:vAlign w:val="center"/>
          </w:tcPr>
          <w:p>
            <w:pPr>
              <w:pStyle w:val="16"/>
            </w:pPr>
            <w:r>
              <w:t>≥2500元</w:t>
            </w:r>
          </w:p>
        </w:tc>
        <w:tc>
          <w:tcPr>
            <w:tcW w:w="2268" w:type="dxa"/>
            <w:vAlign w:val="center"/>
          </w:tcPr>
          <w:p>
            <w:pPr>
              <w:pStyle w:val="16"/>
            </w:pPr>
            <w:r>
              <w:t>依据往年统计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科室委托业务</w:t>
            </w:r>
          </w:p>
        </w:tc>
        <w:tc>
          <w:tcPr>
            <w:tcW w:w="2835" w:type="dxa"/>
            <w:vAlign w:val="center"/>
          </w:tcPr>
          <w:p>
            <w:pPr>
              <w:pStyle w:val="16"/>
            </w:pPr>
            <w:r>
              <w:t>委托业务费用成本</w:t>
            </w:r>
          </w:p>
        </w:tc>
        <w:tc>
          <w:tcPr>
            <w:tcW w:w="2551" w:type="dxa"/>
            <w:vAlign w:val="center"/>
          </w:tcPr>
          <w:p>
            <w:pPr>
              <w:pStyle w:val="16"/>
            </w:pPr>
            <w:r>
              <w:t>≥2000元/月/科室</w:t>
            </w:r>
          </w:p>
        </w:tc>
        <w:tc>
          <w:tcPr>
            <w:tcW w:w="2268" w:type="dxa"/>
            <w:vAlign w:val="center"/>
          </w:tcPr>
          <w:p>
            <w:pPr>
              <w:pStyle w:val="16"/>
            </w:pPr>
            <w:r>
              <w:t>依据往年统计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执法执勤车</w:t>
            </w:r>
          </w:p>
        </w:tc>
        <w:tc>
          <w:tcPr>
            <w:tcW w:w="2835" w:type="dxa"/>
            <w:vAlign w:val="center"/>
          </w:tcPr>
          <w:p>
            <w:pPr>
              <w:pStyle w:val="16"/>
            </w:pPr>
            <w:r>
              <w:t>执法执勤车购置成本</w:t>
            </w:r>
          </w:p>
        </w:tc>
        <w:tc>
          <w:tcPr>
            <w:tcW w:w="2551" w:type="dxa"/>
            <w:vAlign w:val="center"/>
          </w:tcPr>
          <w:p>
            <w:pPr>
              <w:pStyle w:val="16"/>
            </w:pPr>
            <w:r>
              <w:t>≥3.5万元</w:t>
            </w:r>
          </w:p>
        </w:tc>
        <w:tc>
          <w:tcPr>
            <w:tcW w:w="2268" w:type="dxa"/>
            <w:vAlign w:val="center"/>
          </w:tcPr>
          <w:p>
            <w:pPr>
              <w:pStyle w:val="16"/>
            </w:pPr>
            <w:r>
              <w:t>根据大厂回族自治县党政机关公务用车购置、更新审批程序</w:t>
            </w:r>
          </w:p>
          <w:p>
            <w:pPr>
              <w:pStyle w:val="16"/>
            </w:pP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业务保障能力的提升</w:t>
            </w:r>
          </w:p>
        </w:tc>
        <w:tc>
          <w:tcPr>
            <w:tcW w:w="2835" w:type="dxa"/>
            <w:vAlign w:val="center"/>
          </w:tcPr>
          <w:p>
            <w:pPr>
              <w:pStyle w:val="16"/>
            </w:pPr>
            <w:r>
              <w:t>反映业务保障能力的提升情况</w:t>
            </w:r>
          </w:p>
        </w:tc>
        <w:tc>
          <w:tcPr>
            <w:tcW w:w="2551" w:type="dxa"/>
            <w:vAlign w:val="center"/>
          </w:tcPr>
          <w:p>
            <w:pPr>
              <w:pStyle w:val="16"/>
            </w:pPr>
            <w:r>
              <w:t>显著提升</w:t>
            </w:r>
          </w:p>
        </w:tc>
        <w:tc>
          <w:tcPr>
            <w:tcW w:w="2268" w:type="dxa"/>
            <w:vAlign w:val="center"/>
          </w:tcPr>
          <w:p>
            <w:pPr>
              <w:pStyle w:val="16"/>
            </w:pPr>
            <w:r>
              <w:t>与往年业务业务相比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办案人员满意度</w:t>
            </w:r>
          </w:p>
        </w:tc>
        <w:tc>
          <w:tcPr>
            <w:tcW w:w="2835" w:type="dxa"/>
            <w:vAlign w:val="center"/>
          </w:tcPr>
          <w:p>
            <w:pPr>
              <w:pStyle w:val="16"/>
            </w:pPr>
            <w:r>
              <w:t>办案人员满意程度</w:t>
            </w:r>
          </w:p>
        </w:tc>
        <w:tc>
          <w:tcPr>
            <w:tcW w:w="2551" w:type="dxa"/>
            <w:vAlign w:val="center"/>
          </w:tcPr>
          <w:p>
            <w:pPr>
              <w:pStyle w:val="16"/>
            </w:pPr>
            <w:r>
              <w:t>≥95%</w:t>
            </w:r>
          </w:p>
        </w:tc>
        <w:tc>
          <w:tcPr>
            <w:tcW w:w="2268"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9、关于提前下达2022年中央政法纪检监察转移支付资金的通知（装备款）冀财政法【2021】62号绩效目标表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6"/>
            </w:pPr>
            <w:r>
              <w:t>1.通过购入3套国产电脑、打印设备，1套打印机，3套书记员设备，为检察工作顺利开展提供保障，提高执法水平和办案质量。</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国产电脑、打印机设备</w:t>
            </w:r>
          </w:p>
        </w:tc>
        <w:tc>
          <w:tcPr>
            <w:tcW w:w="2835" w:type="dxa"/>
            <w:vAlign w:val="center"/>
          </w:tcPr>
          <w:p>
            <w:pPr>
              <w:pStyle w:val="16"/>
            </w:pPr>
            <w:r>
              <w:t>反映购置国产电脑、打印机设备数量</w:t>
            </w:r>
          </w:p>
        </w:tc>
        <w:tc>
          <w:tcPr>
            <w:tcW w:w="2551" w:type="dxa"/>
            <w:vAlign w:val="center"/>
          </w:tcPr>
          <w:p>
            <w:pPr>
              <w:pStyle w:val="16"/>
            </w:pPr>
            <w:r>
              <w:t>3套</w:t>
            </w:r>
          </w:p>
        </w:tc>
        <w:tc>
          <w:tcPr>
            <w:tcW w:w="2268" w:type="dxa"/>
            <w:vAlign w:val="center"/>
          </w:tcPr>
          <w:p>
            <w:pPr>
              <w:pStyle w:val="16"/>
            </w:pPr>
            <w:r>
              <w:t>国产化信息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会议机</w:t>
            </w:r>
          </w:p>
        </w:tc>
        <w:tc>
          <w:tcPr>
            <w:tcW w:w="2835" w:type="dxa"/>
            <w:vAlign w:val="center"/>
          </w:tcPr>
          <w:p>
            <w:pPr>
              <w:pStyle w:val="16"/>
            </w:pPr>
            <w:r>
              <w:t>反映购置会议机数量</w:t>
            </w:r>
          </w:p>
        </w:tc>
        <w:tc>
          <w:tcPr>
            <w:tcW w:w="2551" w:type="dxa"/>
            <w:vAlign w:val="center"/>
          </w:tcPr>
          <w:p>
            <w:pPr>
              <w:pStyle w:val="16"/>
            </w:pPr>
            <w:r>
              <w:t>1套</w:t>
            </w:r>
          </w:p>
        </w:tc>
        <w:tc>
          <w:tcPr>
            <w:tcW w:w="2268" w:type="dxa"/>
            <w:vAlign w:val="center"/>
          </w:tcPr>
          <w:p>
            <w:pPr>
              <w:pStyle w:val="16"/>
            </w:pPr>
            <w:r>
              <w:t>关于部署应用案件受理类辅助办案工具的通知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小小书记员设备</w:t>
            </w:r>
          </w:p>
        </w:tc>
        <w:tc>
          <w:tcPr>
            <w:tcW w:w="2835" w:type="dxa"/>
            <w:vAlign w:val="center"/>
          </w:tcPr>
          <w:p>
            <w:pPr>
              <w:pStyle w:val="16"/>
            </w:pPr>
            <w:r>
              <w:t>反映购置小小书记员设备数量</w:t>
            </w:r>
          </w:p>
        </w:tc>
        <w:tc>
          <w:tcPr>
            <w:tcW w:w="2551" w:type="dxa"/>
            <w:vAlign w:val="center"/>
          </w:tcPr>
          <w:p>
            <w:pPr>
              <w:pStyle w:val="16"/>
            </w:pPr>
            <w:r>
              <w:t>3套</w:t>
            </w:r>
          </w:p>
        </w:tc>
        <w:tc>
          <w:tcPr>
            <w:tcW w:w="2268" w:type="dxa"/>
            <w:vAlign w:val="center"/>
          </w:tcPr>
          <w:p>
            <w:pPr>
              <w:pStyle w:val="16"/>
            </w:pPr>
            <w:r>
              <w:t>关于部署应用案件受理类辅助办案工具的通知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标准率</w:t>
            </w:r>
          </w:p>
        </w:tc>
        <w:tc>
          <w:tcPr>
            <w:tcW w:w="2835" w:type="dxa"/>
            <w:vAlign w:val="center"/>
          </w:tcPr>
          <w:p>
            <w:pPr>
              <w:pStyle w:val="16"/>
            </w:pPr>
            <w:r>
              <w:t>每个人办公耗材及其他业务标准率</w:t>
            </w:r>
          </w:p>
        </w:tc>
        <w:tc>
          <w:tcPr>
            <w:tcW w:w="2551" w:type="dxa"/>
            <w:vAlign w:val="center"/>
          </w:tcPr>
          <w:p>
            <w:pPr>
              <w:pStyle w:val="16"/>
            </w:pPr>
            <w:r>
              <w:t>≤5%</w:t>
            </w:r>
          </w:p>
        </w:tc>
        <w:tc>
          <w:tcPr>
            <w:tcW w:w="2268" w:type="dxa"/>
            <w:vAlign w:val="center"/>
          </w:tcPr>
          <w:p>
            <w:pPr>
              <w:pStyle w:val="16"/>
            </w:pPr>
            <w:r>
              <w:t>依据科室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执行时间</w:t>
            </w:r>
          </w:p>
        </w:tc>
        <w:tc>
          <w:tcPr>
            <w:tcW w:w="2835" w:type="dxa"/>
            <w:vAlign w:val="center"/>
          </w:tcPr>
          <w:p>
            <w:pPr>
              <w:pStyle w:val="16"/>
            </w:pPr>
            <w:r>
              <w:t>执行时间购买耗材及其他</w:t>
            </w:r>
          </w:p>
        </w:tc>
        <w:tc>
          <w:tcPr>
            <w:tcW w:w="2551" w:type="dxa"/>
            <w:vAlign w:val="center"/>
          </w:tcPr>
          <w:p>
            <w:pPr>
              <w:pStyle w:val="16"/>
            </w:pPr>
            <w:r>
              <w:t>≤12月底</w:t>
            </w:r>
          </w:p>
        </w:tc>
        <w:tc>
          <w:tcPr>
            <w:tcW w:w="2268" w:type="dxa"/>
            <w:vAlign w:val="center"/>
          </w:tcPr>
          <w:p>
            <w:pPr>
              <w:pStyle w:val="16"/>
            </w:pPr>
            <w:r>
              <w:t>依据科室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国产电脑、打印机设备</w:t>
            </w:r>
          </w:p>
        </w:tc>
        <w:tc>
          <w:tcPr>
            <w:tcW w:w="2835" w:type="dxa"/>
            <w:vAlign w:val="center"/>
          </w:tcPr>
          <w:p>
            <w:pPr>
              <w:pStyle w:val="16"/>
            </w:pPr>
            <w:r>
              <w:t>国产电脑、打印机设备</w:t>
            </w:r>
          </w:p>
        </w:tc>
        <w:tc>
          <w:tcPr>
            <w:tcW w:w="2551" w:type="dxa"/>
            <w:vAlign w:val="center"/>
          </w:tcPr>
          <w:p>
            <w:pPr>
              <w:pStyle w:val="16"/>
            </w:pPr>
            <w:r>
              <w:t>8666.67套/元</w:t>
            </w:r>
          </w:p>
        </w:tc>
        <w:tc>
          <w:tcPr>
            <w:tcW w:w="2268" w:type="dxa"/>
            <w:vAlign w:val="center"/>
          </w:tcPr>
          <w:p>
            <w:pPr>
              <w:pStyle w:val="16"/>
            </w:pPr>
            <w:r>
              <w:t>市场价格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会议机</w:t>
            </w:r>
          </w:p>
        </w:tc>
        <w:tc>
          <w:tcPr>
            <w:tcW w:w="2835" w:type="dxa"/>
            <w:vAlign w:val="center"/>
          </w:tcPr>
          <w:p>
            <w:pPr>
              <w:pStyle w:val="16"/>
            </w:pPr>
            <w:r>
              <w:t>会议机成本</w:t>
            </w:r>
          </w:p>
        </w:tc>
        <w:tc>
          <w:tcPr>
            <w:tcW w:w="2551" w:type="dxa"/>
            <w:vAlign w:val="center"/>
          </w:tcPr>
          <w:p>
            <w:pPr>
              <w:pStyle w:val="16"/>
            </w:pPr>
            <w:r>
              <w:t>10万元/套</w:t>
            </w:r>
          </w:p>
        </w:tc>
        <w:tc>
          <w:tcPr>
            <w:tcW w:w="2268" w:type="dxa"/>
            <w:vAlign w:val="center"/>
          </w:tcPr>
          <w:p>
            <w:pPr>
              <w:pStyle w:val="16"/>
            </w:pPr>
            <w:r>
              <w:t>市场价格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小小书记员设备</w:t>
            </w:r>
          </w:p>
        </w:tc>
        <w:tc>
          <w:tcPr>
            <w:tcW w:w="2835" w:type="dxa"/>
            <w:vAlign w:val="center"/>
          </w:tcPr>
          <w:p>
            <w:pPr>
              <w:pStyle w:val="16"/>
            </w:pPr>
            <w:r>
              <w:t>小小书记员设备成本</w:t>
            </w:r>
          </w:p>
        </w:tc>
        <w:tc>
          <w:tcPr>
            <w:tcW w:w="2551" w:type="dxa"/>
            <w:vAlign w:val="center"/>
          </w:tcPr>
          <w:p>
            <w:pPr>
              <w:pStyle w:val="16"/>
            </w:pPr>
            <w:r>
              <w:t>11333.33套/元</w:t>
            </w:r>
          </w:p>
        </w:tc>
        <w:tc>
          <w:tcPr>
            <w:tcW w:w="2268" w:type="dxa"/>
            <w:vAlign w:val="center"/>
          </w:tcPr>
          <w:p>
            <w:pPr>
              <w:pStyle w:val="16"/>
            </w:pPr>
            <w:r>
              <w:t>市场价格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业务保障能力的提升</w:t>
            </w:r>
          </w:p>
        </w:tc>
        <w:tc>
          <w:tcPr>
            <w:tcW w:w="2835" w:type="dxa"/>
            <w:vAlign w:val="center"/>
          </w:tcPr>
          <w:p>
            <w:pPr>
              <w:pStyle w:val="16"/>
            </w:pPr>
            <w:r>
              <w:t>反映业务保障能力的提升情况</w:t>
            </w:r>
          </w:p>
        </w:tc>
        <w:tc>
          <w:tcPr>
            <w:tcW w:w="2551" w:type="dxa"/>
            <w:vAlign w:val="center"/>
          </w:tcPr>
          <w:p>
            <w:pPr>
              <w:pStyle w:val="16"/>
            </w:pPr>
            <w:r>
              <w:t>显著提升</w:t>
            </w:r>
          </w:p>
        </w:tc>
        <w:tc>
          <w:tcPr>
            <w:tcW w:w="2268" w:type="dxa"/>
            <w:vAlign w:val="center"/>
          </w:tcPr>
          <w:p>
            <w:pPr>
              <w:pStyle w:val="16"/>
            </w:pPr>
            <w:r>
              <w:t>与往年业务业务相比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办案人员满意度</w:t>
            </w:r>
          </w:p>
        </w:tc>
        <w:tc>
          <w:tcPr>
            <w:tcW w:w="2835" w:type="dxa"/>
            <w:vAlign w:val="center"/>
          </w:tcPr>
          <w:p>
            <w:pPr>
              <w:pStyle w:val="16"/>
            </w:pPr>
            <w:r>
              <w:t>办案人员满意程度</w:t>
            </w:r>
          </w:p>
        </w:tc>
        <w:tc>
          <w:tcPr>
            <w:tcW w:w="2551" w:type="dxa"/>
            <w:vAlign w:val="center"/>
          </w:tcPr>
          <w:p>
            <w:pPr>
              <w:pStyle w:val="16"/>
            </w:pPr>
            <w:r>
              <w:t>≥95%</w:t>
            </w:r>
          </w:p>
        </w:tc>
        <w:tc>
          <w:tcPr>
            <w:tcW w:w="2268"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10、机关面貌提升工程经费绩效目标表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6"/>
            </w:pPr>
            <w:r>
              <w:t>1.为进一步展现检察机关良好社会形象，持续巩固我县文明城市建设成果，我院开展面貌提升工程。</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面貌改造项目数量</w:t>
            </w:r>
          </w:p>
        </w:tc>
        <w:tc>
          <w:tcPr>
            <w:tcW w:w="2835" w:type="dxa"/>
            <w:vAlign w:val="center"/>
          </w:tcPr>
          <w:p>
            <w:pPr>
              <w:pStyle w:val="16"/>
            </w:pPr>
            <w:r>
              <w:t>反映面貌改造项目数量情况</w:t>
            </w:r>
          </w:p>
        </w:tc>
        <w:tc>
          <w:tcPr>
            <w:tcW w:w="2551" w:type="dxa"/>
            <w:vAlign w:val="center"/>
          </w:tcPr>
          <w:p>
            <w:pPr>
              <w:pStyle w:val="16"/>
            </w:pPr>
            <w:r>
              <w:t>5项</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面貌改造项目合格率</w:t>
            </w:r>
          </w:p>
        </w:tc>
        <w:tc>
          <w:tcPr>
            <w:tcW w:w="2835" w:type="dxa"/>
            <w:vAlign w:val="center"/>
          </w:tcPr>
          <w:p>
            <w:pPr>
              <w:pStyle w:val="16"/>
            </w:pPr>
            <w:r>
              <w:t>通过验收的工程量占建设、改造、修缮总量的比率</w:t>
            </w:r>
          </w:p>
        </w:tc>
        <w:tc>
          <w:tcPr>
            <w:tcW w:w="2551" w:type="dxa"/>
            <w:vAlign w:val="center"/>
          </w:tcPr>
          <w:p>
            <w:pPr>
              <w:pStyle w:val="16"/>
            </w:pPr>
            <w:r>
              <w:t>100%</w:t>
            </w:r>
          </w:p>
        </w:tc>
        <w:tc>
          <w:tcPr>
            <w:tcW w:w="2268" w:type="dxa"/>
            <w:vAlign w:val="center"/>
          </w:tcPr>
          <w:p>
            <w:pPr>
              <w:pStyle w:val="16"/>
            </w:pPr>
            <w:r>
              <w:t>验收标准、工作要求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工程按期完成率</w:t>
            </w:r>
          </w:p>
        </w:tc>
        <w:tc>
          <w:tcPr>
            <w:tcW w:w="2835" w:type="dxa"/>
            <w:vAlign w:val="center"/>
          </w:tcPr>
          <w:p>
            <w:pPr>
              <w:pStyle w:val="16"/>
            </w:pPr>
            <w:r>
              <w:t>按期完成的工程量占总工程量的比率</w:t>
            </w:r>
          </w:p>
        </w:tc>
        <w:tc>
          <w:tcPr>
            <w:tcW w:w="2551" w:type="dxa"/>
            <w:vAlign w:val="center"/>
          </w:tcPr>
          <w:p>
            <w:pPr>
              <w:pStyle w:val="16"/>
            </w:pPr>
            <w:r>
              <w:t>≤6月底</w:t>
            </w:r>
          </w:p>
        </w:tc>
        <w:tc>
          <w:tcPr>
            <w:tcW w:w="2268" w:type="dxa"/>
            <w:vAlign w:val="center"/>
          </w:tcPr>
          <w:p>
            <w:pPr>
              <w:pStyle w:val="16"/>
            </w:pPr>
            <w:r>
              <w:t>按照合同时间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成本控制率</w:t>
            </w:r>
          </w:p>
        </w:tc>
        <w:tc>
          <w:tcPr>
            <w:tcW w:w="2835" w:type="dxa"/>
            <w:vAlign w:val="center"/>
          </w:tcPr>
          <w:p>
            <w:pPr>
              <w:pStyle w:val="16"/>
            </w:pPr>
            <w:r>
              <w:t>反映项目成本的控制情况</w:t>
            </w:r>
          </w:p>
        </w:tc>
        <w:tc>
          <w:tcPr>
            <w:tcW w:w="2551" w:type="dxa"/>
            <w:vAlign w:val="center"/>
          </w:tcPr>
          <w:p>
            <w:pPr>
              <w:pStyle w:val="16"/>
            </w:pPr>
            <w:r>
              <w:t>100%</w:t>
            </w:r>
          </w:p>
        </w:tc>
        <w:tc>
          <w:tcPr>
            <w:tcW w:w="2268" w:type="dxa"/>
            <w:vAlign w:val="center"/>
          </w:tcPr>
          <w:p>
            <w:pPr>
              <w:pStyle w:val="16"/>
            </w:pPr>
            <w:r>
              <w:t>实施方案、合同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提高干警办案效率</w:t>
            </w:r>
          </w:p>
        </w:tc>
        <w:tc>
          <w:tcPr>
            <w:tcW w:w="2835" w:type="dxa"/>
            <w:vAlign w:val="center"/>
          </w:tcPr>
          <w:p>
            <w:pPr>
              <w:pStyle w:val="16"/>
            </w:pPr>
            <w:r>
              <w:t>改造工程对提高干警办案效率的提升情况</w:t>
            </w:r>
          </w:p>
        </w:tc>
        <w:tc>
          <w:tcPr>
            <w:tcW w:w="2551" w:type="dxa"/>
            <w:vAlign w:val="center"/>
          </w:tcPr>
          <w:p>
            <w:pPr>
              <w:pStyle w:val="16"/>
            </w:pPr>
            <w:r>
              <w:t>≥95%</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办公人员满意度</w:t>
            </w:r>
          </w:p>
        </w:tc>
        <w:tc>
          <w:tcPr>
            <w:tcW w:w="2835" w:type="dxa"/>
            <w:vAlign w:val="center"/>
          </w:tcPr>
          <w:p>
            <w:pPr>
              <w:pStyle w:val="16"/>
            </w:pPr>
            <w:r>
              <w:t>办公人员满意度</w:t>
            </w:r>
          </w:p>
        </w:tc>
        <w:tc>
          <w:tcPr>
            <w:tcW w:w="2551" w:type="dxa"/>
            <w:vAlign w:val="center"/>
          </w:tcPr>
          <w:p>
            <w:pPr>
              <w:pStyle w:val="16"/>
            </w:pPr>
            <w:r>
              <w:t>≥90%</w:t>
            </w:r>
          </w:p>
        </w:tc>
        <w:tc>
          <w:tcPr>
            <w:tcW w:w="2268"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11、密码机购置经费绩效目标表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6"/>
            </w:pPr>
            <w:r>
              <w:t>1.通过购置购置保密设备2套，完成省保密局关于做好密码设备工作的要求。</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视频密码设备</w:t>
            </w:r>
          </w:p>
        </w:tc>
        <w:tc>
          <w:tcPr>
            <w:tcW w:w="2835" w:type="dxa"/>
            <w:vAlign w:val="center"/>
          </w:tcPr>
          <w:p>
            <w:pPr>
              <w:pStyle w:val="16"/>
            </w:pPr>
            <w:r>
              <w:t>购置视频密码设备数量</w:t>
            </w:r>
          </w:p>
        </w:tc>
        <w:tc>
          <w:tcPr>
            <w:tcW w:w="2551" w:type="dxa"/>
            <w:vAlign w:val="center"/>
          </w:tcPr>
          <w:p>
            <w:pPr>
              <w:pStyle w:val="16"/>
            </w:pPr>
            <w:r>
              <w:t>2套</w:t>
            </w:r>
          </w:p>
        </w:tc>
        <w:tc>
          <w:tcPr>
            <w:tcW w:w="2268" w:type="dxa"/>
            <w:vAlign w:val="center"/>
          </w:tcPr>
          <w:p>
            <w:pPr>
              <w:pStyle w:val="16"/>
            </w:pPr>
            <w:r>
              <w:t>关于做好密码设备换装工作的通知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验收合格率</w:t>
            </w:r>
          </w:p>
        </w:tc>
        <w:tc>
          <w:tcPr>
            <w:tcW w:w="2835" w:type="dxa"/>
            <w:vAlign w:val="center"/>
          </w:tcPr>
          <w:p>
            <w:pPr>
              <w:pStyle w:val="16"/>
            </w:pPr>
            <w:r>
              <w:t>反映密码器设备新购合格率情况</w:t>
            </w:r>
          </w:p>
        </w:tc>
        <w:tc>
          <w:tcPr>
            <w:tcW w:w="2551" w:type="dxa"/>
            <w:vAlign w:val="center"/>
          </w:tcPr>
          <w:p>
            <w:pPr>
              <w:pStyle w:val="16"/>
            </w:pPr>
            <w:r>
              <w:t>100%</w:t>
            </w:r>
          </w:p>
        </w:tc>
        <w:tc>
          <w:tcPr>
            <w:tcW w:w="2268" w:type="dxa"/>
            <w:vAlign w:val="center"/>
          </w:tcPr>
          <w:p>
            <w:pPr>
              <w:pStyle w:val="16"/>
            </w:pPr>
            <w:r>
              <w:t>系统正常运行情况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完成率</w:t>
            </w:r>
          </w:p>
        </w:tc>
        <w:tc>
          <w:tcPr>
            <w:tcW w:w="2835" w:type="dxa"/>
            <w:vAlign w:val="center"/>
          </w:tcPr>
          <w:p>
            <w:pPr>
              <w:pStyle w:val="16"/>
            </w:pPr>
            <w:r>
              <w:t>反映根据要求及时购买达到使用的及时性</w:t>
            </w:r>
          </w:p>
        </w:tc>
        <w:tc>
          <w:tcPr>
            <w:tcW w:w="2551" w:type="dxa"/>
            <w:vAlign w:val="center"/>
          </w:tcPr>
          <w:p>
            <w:pPr>
              <w:pStyle w:val="16"/>
            </w:pPr>
            <w:r>
              <w:t>100%</w:t>
            </w:r>
          </w:p>
        </w:tc>
        <w:tc>
          <w:tcPr>
            <w:tcW w:w="2268" w:type="dxa"/>
            <w:vAlign w:val="center"/>
          </w:tcPr>
          <w:p>
            <w:pPr>
              <w:pStyle w:val="16"/>
            </w:pPr>
            <w:r>
              <w:t>案件受理到办理统计表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单套设备成本控制数</w:t>
            </w:r>
          </w:p>
        </w:tc>
        <w:tc>
          <w:tcPr>
            <w:tcW w:w="2835" w:type="dxa"/>
            <w:vAlign w:val="center"/>
          </w:tcPr>
          <w:p>
            <w:pPr>
              <w:pStyle w:val="16"/>
            </w:pPr>
            <w:r>
              <w:t>反映购置保密设备的单价情况</w:t>
            </w:r>
          </w:p>
        </w:tc>
        <w:tc>
          <w:tcPr>
            <w:tcW w:w="2551" w:type="dxa"/>
            <w:vAlign w:val="center"/>
          </w:tcPr>
          <w:p>
            <w:pPr>
              <w:pStyle w:val="16"/>
            </w:pPr>
            <w:r>
              <w:t>≤12.5万元</w:t>
            </w:r>
          </w:p>
        </w:tc>
        <w:tc>
          <w:tcPr>
            <w:tcW w:w="2268" w:type="dxa"/>
            <w:vAlign w:val="center"/>
          </w:tcPr>
          <w:p>
            <w:pPr>
              <w:pStyle w:val="16"/>
            </w:pPr>
            <w:r>
              <w:t>预算申请资金和实际支付资金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设备有效率</w:t>
            </w:r>
          </w:p>
        </w:tc>
        <w:tc>
          <w:tcPr>
            <w:tcW w:w="2835" w:type="dxa"/>
            <w:vAlign w:val="center"/>
          </w:tcPr>
          <w:p>
            <w:pPr>
              <w:pStyle w:val="16"/>
            </w:pPr>
            <w:r>
              <w:t>反映购置保密设备的使用达到预期的效果和效率</w:t>
            </w:r>
          </w:p>
        </w:tc>
        <w:tc>
          <w:tcPr>
            <w:tcW w:w="2551" w:type="dxa"/>
            <w:vAlign w:val="center"/>
          </w:tcPr>
          <w:p>
            <w:pPr>
              <w:pStyle w:val="16"/>
            </w:pPr>
            <w:r>
              <w:t>100%</w:t>
            </w:r>
          </w:p>
        </w:tc>
        <w:tc>
          <w:tcPr>
            <w:tcW w:w="2268" w:type="dxa"/>
            <w:vAlign w:val="center"/>
          </w:tcPr>
          <w:p>
            <w:pPr>
              <w:pStyle w:val="16"/>
            </w:pPr>
            <w:r>
              <w:t>行政事业单位固定资产使用年限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办公人员满意度</w:t>
            </w:r>
          </w:p>
        </w:tc>
        <w:tc>
          <w:tcPr>
            <w:tcW w:w="2835" w:type="dxa"/>
            <w:vAlign w:val="center"/>
          </w:tcPr>
          <w:p>
            <w:pPr>
              <w:pStyle w:val="16"/>
            </w:pPr>
            <w:r>
              <w:t>办公人员满意度</w:t>
            </w:r>
          </w:p>
        </w:tc>
        <w:tc>
          <w:tcPr>
            <w:tcW w:w="2551" w:type="dxa"/>
            <w:vAlign w:val="center"/>
          </w:tcPr>
          <w:p>
            <w:pPr>
              <w:pStyle w:val="16"/>
            </w:pPr>
            <w:r>
              <w:t>≥90%</w:t>
            </w:r>
          </w:p>
        </w:tc>
        <w:tc>
          <w:tcPr>
            <w:tcW w:w="2268"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12、荣誉室展厅经费绩效目标表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6"/>
            </w:pPr>
            <w:r>
              <w:t>1.通过对84平米展厅和59项展厅物品进行粉刷定制，进一步营造良好检察文化氛围，提升干警的集体荣誉感、凝聚力和向心力，我院拟开展检察荣誉室建设。包括顶面装饰工程、墙面粉刷、展板的定制及电路改造等工程</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展厅面积</w:t>
            </w:r>
          </w:p>
        </w:tc>
        <w:tc>
          <w:tcPr>
            <w:tcW w:w="2835" w:type="dxa"/>
            <w:vAlign w:val="center"/>
          </w:tcPr>
          <w:p>
            <w:pPr>
              <w:pStyle w:val="16"/>
            </w:pPr>
            <w:r>
              <w:t>反映装修展厅面积情况</w:t>
            </w:r>
          </w:p>
        </w:tc>
        <w:tc>
          <w:tcPr>
            <w:tcW w:w="2551" w:type="dxa"/>
            <w:vAlign w:val="center"/>
          </w:tcPr>
          <w:p>
            <w:pPr>
              <w:pStyle w:val="16"/>
            </w:pPr>
            <w:r>
              <w:t>84平米</w:t>
            </w:r>
          </w:p>
        </w:tc>
        <w:tc>
          <w:tcPr>
            <w:tcW w:w="2268" w:type="dxa"/>
            <w:vAlign w:val="center"/>
          </w:tcPr>
          <w:p>
            <w:pPr>
              <w:pStyle w:val="16"/>
            </w:pPr>
            <w:r>
              <w:t>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展厅物品</w:t>
            </w:r>
          </w:p>
        </w:tc>
        <w:tc>
          <w:tcPr>
            <w:tcW w:w="2835" w:type="dxa"/>
            <w:vAlign w:val="center"/>
          </w:tcPr>
          <w:p>
            <w:pPr>
              <w:pStyle w:val="16"/>
            </w:pPr>
            <w:r>
              <w:t>反映展厅材料数量情况</w:t>
            </w:r>
          </w:p>
        </w:tc>
        <w:tc>
          <w:tcPr>
            <w:tcW w:w="2551" w:type="dxa"/>
            <w:vAlign w:val="center"/>
          </w:tcPr>
          <w:p>
            <w:pPr>
              <w:pStyle w:val="16"/>
            </w:pPr>
            <w:r>
              <w:t>59项</w:t>
            </w:r>
          </w:p>
        </w:tc>
        <w:tc>
          <w:tcPr>
            <w:tcW w:w="2268" w:type="dxa"/>
            <w:vAlign w:val="center"/>
          </w:tcPr>
          <w:p>
            <w:pPr>
              <w:pStyle w:val="16"/>
            </w:pPr>
            <w:r>
              <w:t>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装修验收合格率</w:t>
            </w:r>
          </w:p>
        </w:tc>
        <w:tc>
          <w:tcPr>
            <w:tcW w:w="2835" w:type="dxa"/>
            <w:vAlign w:val="center"/>
          </w:tcPr>
          <w:p>
            <w:pPr>
              <w:pStyle w:val="16"/>
            </w:pPr>
            <w:r>
              <w:t>验收合格的面积数占总面积的比值</w:t>
            </w:r>
          </w:p>
        </w:tc>
        <w:tc>
          <w:tcPr>
            <w:tcW w:w="2551" w:type="dxa"/>
            <w:vAlign w:val="center"/>
          </w:tcPr>
          <w:p>
            <w:pPr>
              <w:pStyle w:val="16"/>
            </w:pPr>
            <w:r>
              <w:t>100%</w:t>
            </w:r>
          </w:p>
        </w:tc>
        <w:tc>
          <w:tcPr>
            <w:tcW w:w="2268" w:type="dxa"/>
            <w:vAlign w:val="center"/>
          </w:tcPr>
          <w:p>
            <w:pPr>
              <w:pStyle w:val="16"/>
            </w:pPr>
            <w:r>
              <w:t>按照合同要求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装修完成时间</w:t>
            </w:r>
          </w:p>
        </w:tc>
        <w:tc>
          <w:tcPr>
            <w:tcW w:w="2835" w:type="dxa"/>
            <w:vAlign w:val="center"/>
          </w:tcPr>
          <w:p>
            <w:pPr>
              <w:pStyle w:val="16"/>
            </w:pPr>
            <w:r>
              <w:t>装修工程完成的时间</w:t>
            </w:r>
          </w:p>
        </w:tc>
        <w:tc>
          <w:tcPr>
            <w:tcW w:w="2551" w:type="dxa"/>
            <w:vAlign w:val="center"/>
          </w:tcPr>
          <w:p>
            <w:pPr>
              <w:pStyle w:val="16"/>
            </w:pPr>
            <w:r>
              <w:t>≤7月底</w:t>
            </w:r>
          </w:p>
        </w:tc>
        <w:tc>
          <w:tcPr>
            <w:tcW w:w="2268" w:type="dxa"/>
            <w:vAlign w:val="center"/>
          </w:tcPr>
          <w:p>
            <w:pPr>
              <w:pStyle w:val="16"/>
            </w:pPr>
            <w:r>
              <w:t>按照合同要求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物品材料单位成本</w:t>
            </w:r>
          </w:p>
        </w:tc>
        <w:tc>
          <w:tcPr>
            <w:tcW w:w="2835" w:type="dxa"/>
            <w:vAlign w:val="center"/>
          </w:tcPr>
          <w:p>
            <w:pPr>
              <w:pStyle w:val="16"/>
            </w:pPr>
            <w:r>
              <w:t>物品材料单位成本</w:t>
            </w:r>
          </w:p>
        </w:tc>
        <w:tc>
          <w:tcPr>
            <w:tcW w:w="2551" w:type="dxa"/>
            <w:vAlign w:val="center"/>
          </w:tcPr>
          <w:p>
            <w:pPr>
              <w:pStyle w:val="16"/>
            </w:pPr>
            <w:r>
              <w:t>535元/项</w:t>
            </w:r>
          </w:p>
        </w:tc>
        <w:tc>
          <w:tcPr>
            <w:tcW w:w="2268" w:type="dxa"/>
            <w:vAlign w:val="center"/>
          </w:tcPr>
          <w:p>
            <w:pPr>
              <w:pStyle w:val="16"/>
            </w:pPr>
            <w:r>
              <w:t>按照合同要求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装修工程单位成本</w:t>
            </w:r>
          </w:p>
        </w:tc>
        <w:tc>
          <w:tcPr>
            <w:tcW w:w="2835" w:type="dxa"/>
            <w:vAlign w:val="center"/>
          </w:tcPr>
          <w:p>
            <w:pPr>
              <w:pStyle w:val="16"/>
            </w:pPr>
            <w:r>
              <w:t>装修工程单位成本</w:t>
            </w:r>
          </w:p>
        </w:tc>
        <w:tc>
          <w:tcPr>
            <w:tcW w:w="2551" w:type="dxa"/>
            <w:vAlign w:val="center"/>
          </w:tcPr>
          <w:p>
            <w:pPr>
              <w:pStyle w:val="16"/>
            </w:pPr>
            <w:r>
              <w:t>2744元/平方米</w:t>
            </w:r>
          </w:p>
        </w:tc>
        <w:tc>
          <w:tcPr>
            <w:tcW w:w="2268" w:type="dxa"/>
            <w:vAlign w:val="center"/>
          </w:tcPr>
          <w:p>
            <w:pPr>
              <w:pStyle w:val="16"/>
            </w:pPr>
            <w:r>
              <w:t>按照合同要求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荣誉展厅规范性</w:t>
            </w:r>
          </w:p>
        </w:tc>
        <w:tc>
          <w:tcPr>
            <w:tcW w:w="2835" w:type="dxa"/>
            <w:vAlign w:val="center"/>
          </w:tcPr>
          <w:p>
            <w:pPr>
              <w:pStyle w:val="16"/>
            </w:pPr>
            <w:r>
              <w:t>严格参照检察业务的工作流程规范进行设计，尽可能贴合检察业务的实际业务需要</w:t>
            </w:r>
          </w:p>
        </w:tc>
        <w:tc>
          <w:tcPr>
            <w:tcW w:w="2551" w:type="dxa"/>
            <w:vAlign w:val="center"/>
          </w:tcPr>
          <w:p>
            <w:pPr>
              <w:pStyle w:val="16"/>
            </w:pPr>
            <w:r>
              <w:t>符合标准</w:t>
            </w:r>
          </w:p>
        </w:tc>
        <w:tc>
          <w:tcPr>
            <w:tcW w:w="2268" w:type="dxa"/>
            <w:vAlign w:val="center"/>
          </w:tcPr>
          <w:p>
            <w:pPr>
              <w:pStyle w:val="16"/>
            </w:pPr>
            <w:r>
              <w:t>按照合同要求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使用人员满意度</w:t>
            </w:r>
          </w:p>
        </w:tc>
        <w:tc>
          <w:tcPr>
            <w:tcW w:w="2835" w:type="dxa"/>
            <w:vAlign w:val="center"/>
          </w:tcPr>
          <w:p>
            <w:pPr>
              <w:pStyle w:val="16"/>
            </w:pPr>
            <w:r>
              <w:t>办公人员满意度</w:t>
            </w:r>
          </w:p>
        </w:tc>
        <w:tc>
          <w:tcPr>
            <w:tcW w:w="2551" w:type="dxa"/>
            <w:vAlign w:val="center"/>
          </w:tcPr>
          <w:p>
            <w:pPr>
              <w:pStyle w:val="16"/>
            </w:pPr>
            <w:r>
              <w:t>≥90%</w:t>
            </w:r>
          </w:p>
        </w:tc>
        <w:tc>
          <w:tcPr>
            <w:tcW w:w="2268"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13、三级等保测评经费绩效目标表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6"/>
            </w:pPr>
            <w:r>
              <w:t>1.通过开展三级等保测评，使网络环境更加安全，检察院内使用对象满意度增加，满足办案使用需求。</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网络安全等级测评数量</w:t>
            </w:r>
          </w:p>
        </w:tc>
        <w:tc>
          <w:tcPr>
            <w:tcW w:w="2835" w:type="dxa"/>
            <w:vAlign w:val="center"/>
          </w:tcPr>
          <w:p>
            <w:pPr>
              <w:pStyle w:val="16"/>
            </w:pPr>
            <w:r>
              <w:t>检察院三级等保测评的数量</w:t>
            </w:r>
          </w:p>
        </w:tc>
        <w:tc>
          <w:tcPr>
            <w:tcW w:w="2551" w:type="dxa"/>
            <w:vAlign w:val="center"/>
          </w:tcPr>
          <w:p>
            <w:pPr>
              <w:pStyle w:val="16"/>
            </w:pPr>
            <w:r>
              <w:t>1套</w:t>
            </w:r>
          </w:p>
        </w:tc>
        <w:tc>
          <w:tcPr>
            <w:tcW w:w="2268" w:type="dxa"/>
            <w:vAlign w:val="center"/>
          </w:tcPr>
          <w:p>
            <w:pPr>
              <w:pStyle w:val="16"/>
            </w:pPr>
            <w:r>
              <w:t>信息安全等级保护管理办法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等保测评考核达标率</w:t>
            </w:r>
          </w:p>
        </w:tc>
        <w:tc>
          <w:tcPr>
            <w:tcW w:w="2835" w:type="dxa"/>
            <w:vAlign w:val="center"/>
          </w:tcPr>
          <w:p>
            <w:pPr>
              <w:pStyle w:val="16"/>
            </w:pPr>
            <w:r>
              <w:t>反映等保测评考核通过的比率</w:t>
            </w:r>
          </w:p>
        </w:tc>
        <w:tc>
          <w:tcPr>
            <w:tcW w:w="2551" w:type="dxa"/>
            <w:vAlign w:val="center"/>
          </w:tcPr>
          <w:p>
            <w:pPr>
              <w:pStyle w:val="16"/>
            </w:pPr>
            <w:r>
              <w:t>≥95%</w:t>
            </w:r>
          </w:p>
        </w:tc>
        <w:tc>
          <w:tcPr>
            <w:tcW w:w="2268" w:type="dxa"/>
            <w:vAlign w:val="center"/>
          </w:tcPr>
          <w:p>
            <w:pPr>
              <w:pStyle w:val="16"/>
            </w:pPr>
            <w:r>
              <w:t>系统故障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测评考核时间</w:t>
            </w:r>
          </w:p>
        </w:tc>
        <w:tc>
          <w:tcPr>
            <w:tcW w:w="2835" w:type="dxa"/>
            <w:vAlign w:val="center"/>
          </w:tcPr>
          <w:p>
            <w:pPr>
              <w:pStyle w:val="16"/>
            </w:pPr>
            <w:r>
              <w:t>网路安全等级升级验收时间</w:t>
            </w:r>
          </w:p>
        </w:tc>
        <w:tc>
          <w:tcPr>
            <w:tcW w:w="2551" w:type="dxa"/>
            <w:vAlign w:val="center"/>
          </w:tcPr>
          <w:p>
            <w:pPr>
              <w:pStyle w:val="16"/>
            </w:pPr>
            <w:r>
              <w:t>6月底</w:t>
            </w:r>
          </w:p>
        </w:tc>
        <w:tc>
          <w:tcPr>
            <w:tcW w:w="2268" w:type="dxa"/>
            <w:vAlign w:val="center"/>
          </w:tcPr>
          <w:p>
            <w:pPr>
              <w:pStyle w:val="16"/>
            </w:pPr>
            <w:r>
              <w:t>按照合同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测评考核成本控制数</w:t>
            </w:r>
          </w:p>
        </w:tc>
        <w:tc>
          <w:tcPr>
            <w:tcW w:w="2835" w:type="dxa"/>
            <w:vAlign w:val="center"/>
          </w:tcPr>
          <w:p>
            <w:pPr>
              <w:pStyle w:val="16"/>
            </w:pPr>
            <w:r>
              <w:t>反映等保三级测评费用控制情况</w:t>
            </w:r>
          </w:p>
        </w:tc>
        <w:tc>
          <w:tcPr>
            <w:tcW w:w="2551" w:type="dxa"/>
            <w:vAlign w:val="center"/>
          </w:tcPr>
          <w:p>
            <w:pPr>
              <w:pStyle w:val="16"/>
            </w:pPr>
            <w:r>
              <w:t>8万元</w:t>
            </w:r>
          </w:p>
        </w:tc>
        <w:tc>
          <w:tcPr>
            <w:tcW w:w="2268" w:type="dxa"/>
            <w:vAlign w:val="center"/>
          </w:tcPr>
          <w:p>
            <w:pPr>
              <w:pStyle w:val="16"/>
            </w:pPr>
            <w:r>
              <w:t>信息安全等级保护管理办法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网络保障率</w:t>
            </w:r>
          </w:p>
        </w:tc>
        <w:tc>
          <w:tcPr>
            <w:tcW w:w="2835" w:type="dxa"/>
            <w:vAlign w:val="center"/>
          </w:tcPr>
          <w:p>
            <w:pPr>
              <w:pStyle w:val="16"/>
            </w:pPr>
            <w:r>
              <w:t>反映检察院网络使用安全通畅等保障情况，实际保障天数/全年天数*100%</w:t>
            </w:r>
          </w:p>
        </w:tc>
        <w:tc>
          <w:tcPr>
            <w:tcW w:w="2551" w:type="dxa"/>
            <w:vAlign w:val="center"/>
          </w:tcPr>
          <w:p>
            <w:pPr>
              <w:pStyle w:val="16"/>
            </w:pPr>
            <w:r>
              <w:t>100%</w:t>
            </w:r>
          </w:p>
        </w:tc>
        <w:tc>
          <w:tcPr>
            <w:tcW w:w="2268" w:type="dxa"/>
            <w:vAlign w:val="center"/>
          </w:tcPr>
          <w:p>
            <w:pPr>
              <w:pStyle w:val="16"/>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办公人员满意度</w:t>
            </w:r>
          </w:p>
        </w:tc>
        <w:tc>
          <w:tcPr>
            <w:tcW w:w="2835" w:type="dxa"/>
            <w:vAlign w:val="center"/>
          </w:tcPr>
          <w:p>
            <w:pPr>
              <w:pStyle w:val="16"/>
            </w:pPr>
            <w:r>
              <w:t>办公人员满意度</w:t>
            </w:r>
          </w:p>
        </w:tc>
        <w:tc>
          <w:tcPr>
            <w:tcW w:w="2551" w:type="dxa"/>
            <w:vAlign w:val="center"/>
          </w:tcPr>
          <w:p>
            <w:pPr>
              <w:pStyle w:val="16"/>
            </w:pPr>
            <w:r>
              <w:t>≥90%</w:t>
            </w:r>
          </w:p>
        </w:tc>
        <w:tc>
          <w:tcPr>
            <w:tcW w:w="2268"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14、视频宣教教室及党建室工程建设尾款经费绩效目标表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6"/>
            </w:pPr>
            <w:r>
              <w:t>1.为了扎实推进新时代检察工作创新新发展，确保学习教育，素能提升与检察业务同部署，同发展。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装修面积</w:t>
            </w:r>
          </w:p>
        </w:tc>
        <w:tc>
          <w:tcPr>
            <w:tcW w:w="2835" w:type="dxa"/>
            <w:vAlign w:val="center"/>
          </w:tcPr>
          <w:p>
            <w:pPr>
              <w:pStyle w:val="16"/>
            </w:pPr>
            <w:r>
              <w:t>时频室及党建室建设面积</w:t>
            </w:r>
          </w:p>
        </w:tc>
        <w:tc>
          <w:tcPr>
            <w:tcW w:w="2551" w:type="dxa"/>
            <w:vAlign w:val="center"/>
          </w:tcPr>
          <w:p>
            <w:pPr>
              <w:pStyle w:val="16"/>
            </w:pPr>
            <w:r>
              <w:t>150平米</w:t>
            </w:r>
          </w:p>
        </w:tc>
        <w:tc>
          <w:tcPr>
            <w:tcW w:w="2268" w:type="dxa"/>
            <w:vAlign w:val="center"/>
          </w:tcPr>
          <w:p>
            <w:pPr>
              <w:pStyle w:val="16"/>
            </w:pPr>
            <w:r>
              <w:t>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装修验收合格率</w:t>
            </w:r>
          </w:p>
        </w:tc>
        <w:tc>
          <w:tcPr>
            <w:tcW w:w="2835" w:type="dxa"/>
            <w:vAlign w:val="center"/>
          </w:tcPr>
          <w:p>
            <w:pPr>
              <w:pStyle w:val="16"/>
            </w:pPr>
            <w:r>
              <w:t>验收合格的面积数占总面积的比值</w:t>
            </w:r>
          </w:p>
        </w:tc>
        <w:tc>
          <w:tcPr>
            <w:tcW w:w="2551" w:type="dxa"/>
            <w:vAlign w:val="center"/>
          </w:tcPr>
          <w:p>
            <w:pPr>
              <w:pStyle w:val="16"/>
            </w:pPr>
            <w:r>
              <w:t>100%</w:t>
            </w:r>
          </w:p>
        </w:tc>
        <w:tc>
          <w:tcPr>
            <w:tcW w:w="2268" w:type="dxa"/>
            <w:vAlign w:val="center"/>
          </w:tcPr>
          <w:p>
            <w:pPr>
              <w:pStyle w:val="16"/>
            </w:pPr>
            <w:r>
              <w:t>按照合同要求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装修完成及时率</w:t>
            </w:r>
          </w:p>
        </w:tc>
        <w:tc>
          <w:tcPr>
            <w:tcW w:w="2835" w:type="dxa"/>
            <w:vAlign w:val="center"/>
          </w:tcPr>
          <w:p>
            <w:pPr>
              <w:pStyle w:val="16"/>
            </w:pPr>
            <w:r>
              <w:t>装修工程完成的时间</w:t>
            </w:r>
          </w:p>
        </w:tc>
        <w:tc>
          <w:tcPr>
            <w:tcW w:w="2551" w:type="dxa"/>
            <w:vAlign w:val="center"/>
          </w:tcPr>
          <w:p>
            <w:pPr>
              <w:pStyle w:val="16"/>
            </w:pPr>
            <w:r>
              <w:t>100%</w:t>
            </w:r>
          </w:p>
        </w:tc>
        <w:tc>
          <w:tcPr>
            <w:tcW w:w="2268" w:type="dxa"/>
            <w:vAlign w:val="center"/>
          </w:tcPr>
          <w:p>
            <w:pPr>
              <w:pStyle w:val="16"/>
            </w:pPr>
            <w:r>
              <w:t>按照合同要求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装修工程单位平米成本</w:t>
            </w:r>
          </w:p>
        </w:tc>
        <w:tc>
          <w:tcPr>
            <w:tcW w:w="2835" w:type="dxa"/>
            <w:vAlign w:val="center"/>
          </w:tcPr>
          <w:p>
            <w:pPr>
              <w:pStyle w:val="16"/>
            </w:pPr>
            <w:r>
              <w:t>装修工程单位成本</w:t>
            </w:r>
          </w:p>
        </w:tc>
        <w:tc>
          <w:tcPr>
            <w:tcW w:w="2551" w:type="dxa"/>
            <w:vAlign w:val="center"/>
          </w:tcPr>
          <w:p>
            <w:pPr>
              <w:pStyle w:val="16"/>
            </w:pPr>
            <w:r>
              <w:t>2806.67元</w:t>
            </w:r>
          </w:p>
        </w:tc>
        <w:tc>
          <w:tcPr>
            <w:tcW w:w="2268" w:type="dxa"/>
            <w:vAlign w:val="center"/>
          </w:tcPr>
          <w:p>
            <w:pPr>
              <w:pStyle w:val="16"/>
            </w:pPr>
            <w:r>
              <w:t>按照合同要求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符合规划规范性</w:t>
            </w:r>
          </w:p>
        </w:tc>
        <w:tc>
          <w:tcPr>
            <w:tcW w:w="2835" w:type="dxa"/>
            <w:vAlign w:val="center"/>
          </w:tcPr>
          <w:p>
            <w:pPr>
              <w:pStyle w:val="16"/>
            </w:pPr>
            <w:r>
              <w:t>严格参照检察业务的工作流程规范进行设计，尽可能贴合检察业务的实际业务需要</w:t>
            </w:r>
          </w:p>
        </w:tc>
        <w:tc>
          <w:tcPr>
            <w:tcW w:w="2551" w:type="dxa"/>
            <w:vAlign w:val="center"/>
          </w:tcPr>
          <w:p>
            <w:pPr>
              <w:pStyle w:val="16"/>
            </w:pPr>
            <w:r>
              <w:t>符合</w:t>
            </w:r>
          </w:p>
        </w:tc>
        <w:tc>
          <w:tcPr>
            <w:tcW w:w="2268" w:type="dxa"/>
            <w:vAlign w:val="center"/>
          </w:tcPr>
          <w:p>
            <w:pPr>
              <w:pStyle w:val="16"/>
            </w:pPr>
            <w:r>
              <w:t>按照合同要求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使用人员满意度</w:t>
            </w:r>
          </w:p>
        </w:tc>
        <w:tc>
          <w:tcPr>
            <w:tcW w:w="2835" w:type="dxa"/>
            <w:vAlign w:val="center"/>
          </w:tcPr>
          <w:p>
            <w:pPr>
              <w:pStyle w:val="16"/>
            </w:pPr>
            <w:r>
              <w:t>办公人员满意度</w:t>
            </w:r>
          </w:p>
        </w:tc>
        <w:tc>
          <w:tcPr>
            <w:tcW w:w="2551" w:type="dxa"/>
            <w:vAlign w:val="center"/>
          </w:tcPr>
          <w:p>
            <w:pPr>
              <w:pStyle w:val="16"/>
            </w:pPr>
            <w:r>
              <w:t>≥90%</w:t>
            </w:r>
          </w:p>
        </w:tc>
        <w:tc>
          <w:tcPr>
            <w:tcW w:w="2268"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15、书记员经费绩效目标表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6"/>
            </w:pPr>
            <w:r>
              <w:t>1.加强各项检察辅助职能，为检察业务提供有力保障，同级别9名书记员发放工资为5438.8元/人，共计支出需求资金58.8万元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工资发放人数</w:t>
            </w:r>
          </w:p>
        </w:tc>
        <w:tc>
          <w:tcPr>
            <w:tcW w:w="2835" w:type="dxa"/>
            <w:vAlign w:val="center"/>
          </w:tcPr>
          <w:p>
            <w:pPr>
              <w:pStyle w:val="16"/>
            </w:pPr>
            <w:r>
              <w:t>工资发放人数</w:t>
            </w:r>
          </w:p>
        </w:tc>
        <w:tc>
          <w:tcPr>
            <w:tcW w:w="2551" w:type="dxa"/>
            <w:vAlign w:val="center"/>
          </w:tcPr>
          <w:p>
            <w:pPr>
              <w:pStyle w:val="16"/>
            </w:pPr>
            <w:r>
              <w:t>9人</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发放人员合规率</w:t>
            </w:r>
          </w:p>
        </w:tc>
        <w:tc>
          <w:tcPr>
            <w:tcW w:w="2835" w:type="dxa"/>
            <w:vAlign w:val="center"/>
          </w:tcPr>
          <w:p>
            <w:pPr>
              <w:pStyle w:val="16"/>
            </w:pPr>
            <w:r>
              <w:t>实际发放工资的合规人员占应发放工资的合规人员</w:t>
            </w:r>
          </w:p>
        </w:tc>
        <w:tc>
          <w:tcPr>
            <w:tcW w:w="2551" w:type="dxa"/>
            <w:vAlign w:val="center"/>
          </w:tcPr>
          <w:p>
            <w:pPr>
              <w:pStyle w:val="16"/>
            </w:pPr>
            <w:r>
              <w:t>100%</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工资发放及时率</w:t>
            </w:r>
          </w:p>
        </w:tc>
        <w:tc>
          <w:tcPr>
            <w:tcW w:w="2835" w:type="dxa"/>
            <w:vAlign w:val="center"/>
          </w:tcPr>
          <w:p>
            <w:pPr>
              <w:pStyle w:val="16"/>
            </w:pPr>
            <w:r>
              <w:t>按照规定的时间及时发放</w:t>
            </w:r>
          </w:p>
        </w:tc>
        <w:tc>
          <w:tcPr>
            <w:tcW w:w="2551" w:type="dxa"/>
            <w:vAlign w:val="center"/>
          </w:tcPr>
          <w:p>
            <w:pPr>
              <w:pStyle w:val="16"/>
            </w:pPr>
            <w:r>
              <w:t>100%</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同工资级别人均发放成本</w:t>
            </w:r>
          </w:p>
        </w:tc>
        <w:tc>
          <w:tcPr>
            <w:tcW w:w="2835" w:type="dxa"/>
            <w:vAlign w:val="center"/>
          </w:tcPr>
          <w:p>
            <w:pPr>
              <w:pStyle w:val="16"/>
            </w:pPr>
            <w:r>
              <w:t>按照同工资级别及时发放9人</w:t>
            </w:r>
          </w:p>
        </w:tc>
        <w:tc>
          <w:tcPr>
            <w:tcW w:w="2551" w:type="dxa"/>
            <w:vAlign w:val="center"/>
          </w:tcPr>
          <w:p>
            <w:pPr>
              <w:pStyle w:val="16"/>
            </w:pPr>
            <w:r>
              <w:t>5438.8元/人</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人员办案提升情况</w:t>
            </w:r>
          </w:p>
        </w:tc>
        <w:tc>
          <w:tcPr>
            <w:tcW w:w="2835" w:type="dxa"/>
            <w:vAlign w:val="center"/>
          </w:tcPr>
          <w:p>
            <w:pPr>
              <w:pStyle w:val="16"/>
            </w:pPr>
            <w:r>
              <w:t>检察业务辅助职能显著提高，办案业务质量显著提升</w:t>
            </w:r>
          </w:p>
        </w:tc>
        <w:tc>
          <w:tcPr>
            <w:tcW w:w="2551" w:type="dxa"/>
            <w:vAlign w:val="center"/>
          </w:tcPr>
          <w:p>
            <w:pPr>
              <w:pStyle w:val="16"/>
            </w:pPr>
            <w:r>
              <w:t>显著</w:t>
            </w:r>
          </w:p>
        </w:tc>
        <w:tc>
          <w:tcPr>
            <w:tcW w:w="2268" w:type="dxa"/>
            <w:vAlign w:val="center"/>
          </w:tcPr>
          <w:p>
            <w:pPr>
              <w:pStyle w:val="16"/>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办公人员满意度</w:t>
            </w:r>
          </w:p>
        </w:tc>
        <w:tc>
          <w:tcPr>
            <w:tcW w:w="2835" w:type="dxa"/>
            <w:vAlign w:val="center"/>
          </w:tcPr>
          <w:p>
            <w:pPr>
              <w:pStyle w:val="16"/>
            </w:pPr>
            <w:r>
              <w:t>办公人员满意度</w:t>
            </w:r>
          </w:p>
        </w:tc>
        <w:tc>
          <w:tcPr>
            <w:tcW w:w="2551" w:type="dxa"/>
            <w:vAlign w:val="center"/>
          </w:tcPr>
          <w:p>
            <w:pPr>
              <w:pStyle w:val="16"/>
            </w:pPr>
            <w:r>
              <w:t>≥95%</w:t>
            </w:r>
          </w:p>
        </w:tc>
        <w:tc>
          <w:tcPr>
            <w:tcW w:w="2268"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16、体能训练中心项目建设经费绩效目标表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6"/>
            </w:pPr>
            <w:r>
              <w:t>1.通过建设130平米体能训练中心，提高干警体能素质，打造过硬检察队伍</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装修面积</w:t>
            </w:r>
          </w:p>
        </w:tc>
        <w:tc>
          <w:tcPr>
            <w:tcW w:w="2835" w:type="dxa"/>
            <w:vAlign w:val="center"/>
          </w:tcPr>
          <w:p>
            <w:pPr>
              <w:pStyle w:val="16"/>
            </w:pPr>
            <w:r>
              <w:t>体能训练装修面积</w:t>
            </w:r>
          </w:p>
        </w:tc>
        <w:tc>
          <w:tcPr>
            <w:tcW w:w="2551" w:type="dxa"/>
            <w:vAlign w:val="center"/>
          </w:tcPr>
          <w:p>
            <w:pPr>
              <w:pStyle w:val="16"/>
            </w:pPr>
            <w:r>
              <w:t>130平米</w:t>
            </w:r>
          </w:p>
        </w:tc>
        <w:tc>
          <w:tcPr>
            <w:tcW w:w="2268" w:type="dxa"/>
            <w:vAlign w:val="center"/>
          </w:tcPr>
          <w:p>
            <w:pPr>
              <w:pStyle w:val="16"/>
            </w:pPr>
            <w:r>
              <w:t>根据体能训练中心请示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装修验收合格率</w:t>
            </w:r>
          </w:p>
        </w:tc>
        <w:tc>
          <w:tcPr>
            <w:tcW w:w="2835" w:type="dxa"/>
            <w:vAlign w:val="center"/>
          </w:tcPr>
          <w:p>
            <w:pPr>
              <w:pStyle w:val="16"/>
            </w:pPr>
            <w:r>
              <w:t>验收合格的面积数占总面积的比值</w:t>
            </w:r>
          </w:p>
        </w:tc>
        <w:tc>
          <w:tcPr>
            <w:tcW w:w="2551" w:type="dxa"/>
            <w:vAlign w:val="center"/>
          </w:tcPr>
          <w:p>
            <w:pPr>
              <w:pStyle w:val="16"/>
            </w:pPr>
            <w:r>
              <w:t>100%</w:t>
            </w:r>
          </w:p>
        </w:tc>
        <w:tc>
          <w:tcPr>
            <w:tcW w:w="2268" w:type="dxa"/>
            <w:vAlign w:val="center"/>
          </w:tcPr>
          <w:p>
            <w:pPr>
              <w:pStyle w:val="16"/>
            </w:pPr>
            <w:r>
              <w:t>按照合同要求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完成时间</w:t>
            </w:r>
          </w:p>
        </w:tc>
        <w:tc>
          <w:tcPr>
            <w:tcW w:w="2835" w:type="dxa"/>
            <w:vAlign w:val="center"/>
          </w:tcPr>
          <w:p>
            <w:pPr>
              <w:pStyle w:val="16"/>
            </w:pPr>
            <w:r>
              <w:t>装修及设备购买时间</w:t>
            </w:r>
          </w:p>
        </w:tc>
        <w:tc>
          <w:tcPr>
            <w:tcW w:w="2551" w:type="dxa"/>
            <w:vAlign w:val="center"/>
          </w:tcPr>
          <w:p>
            <w:pPr>
              <w:pStyle w:val="16"/>
            </w:pPr>
            <w:r>
              <w:t>4月</w:t>
            </w:r>
          </w:p>
        </w:tc>
        <w:tc>
          <w:tcPr>
            <w:tcW w:w="2268" w:type="dxa"/>
            <w:vAlign w:val="center"/>
          </w:tcPr>
          <w:p>
            <w:pPr>
              <w:pStyle w:val="16"/>
            </w:pPr>
            <w:r>
              <w:t>按照合同要求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工程建设及货物采购成本</w:t>
            </w:r>
          </w:p>
        </w:tc>
        <w:tc>
          <w:tcPr>
            <w:tcW w:w="2835" w:type="dxa"/>
            <w:vAlign w:val="center"/>
          </w:tcPr>
          <w:p>
            <w:pPr>
              <w:pStyle w:val="16"/>
            </w:pPr>
            <w:r>
              <w:t>工程建设及货物采购金额</w:t>
            </w:r>
          </w:p>
        </w:tc>
        <w:tc>
          <w:tcPr>
            <w:tcW w:w="2551" w:type="dxa"/>
            <w:vAlign w:val="center"/>
          </w:tcPr>
          <w:p>
            <w:pPr>
              <w:pStyle w:val="16"/>
            </w:pPr>
            <w:r>
              <w:t>45.72万元</w:t>
            </w:r>
          </w:p>
        </w:tc>
        <w:tc>
          <w:tcPr>
            <w:tcW w:w="2268" w:type="dxa"/>
            <w:vAlign w:val="center"/>
          </w:tcPr>
          <w:p>
            <w:pPr>
              <w:pStyle w:val="16"/>
            </w:pPr>
            <w:r>
              <w:t>根据体能训练中心请示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使用年限</w:t>
            </w:r>
          </w:p>
        </w:tc>
        <w:tc>
          <w:tcPr>
            <w:tcW w:w="2835" w:type="dxa"/>
            <w:vAlign w:val="center"/>
          </w:tcPr>
          <w:p>
            <w:pPr>
              <w:pStyle w:val="16"/>
            </w:pPr>
            <w:r>
              <w:t>体能训练中心可以使用的年限</w:t>
            </w:r>
          </w:p>
        </w:tc>
        <w:tc>
          <w:tcPr>
            <w:tcW w:w="2551" w:type="dxa"/>
            <w:vAlign w:val="center"/>
          </w:tcPr>
          <w:p>
            <w:pPr>
              <w:pStyle w:val="16"/>
            </w:pPr>
            <w:r>
              <w:t>≥20年</w:t>
            </w:r>
          </w:p>
        </w:tc>
        <w:tc>
          <w:tcPr>
            <w:tcW w:w="2268" w:type="dxa"/>
            <w:vAlign w:val="center"/>
          </w:tcPr>
          <w:p>
            <w:pPr>
              <w:pStyle w:val="16"/>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办公人员满意度</w:t>
            </w:r>
          </w:p>
        </w:tc>
        <w:tc>
          <w:tcPr>
            <w:tcW w:w="2835" w:type="dxa"/>
            <w:vAlign w:val="center"/>
          </w:tcPr>
          <w:p>
            <w:pPr>
              <w:pStyle w:val="16"/>
            </w:pPr>
            <w:r>
              <w:t>办公人员满意度</w:t>
            </w:r>
          </w:p>
        </w:tc>
        <w:tc>
          <w:tcPr>
            <w:tcW w:w="2551" w:type="dxa"/>
            <w:vAlign w:val="center"/>
          </w:tcPr>
          <w:p>
            <w:pPr>
              <w:pStyle w:val="16"/>
            </w:pPr>
            <w:r>
              <w:t>≥90%</w:t>
            </w:r>
          </w:p>
        </w:tc>
        <w:tc>
          <w:tcPr>
            <w:tcW w:w="2268"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17、业务大厅改造及院落修缮工程建设尾款经费绩效目标表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6"/>
            </w:pPr>
            <w:r>
              <w:t>1.为了妥善解决历史遗留问题厘清边界我院需将院落重新修缮</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升级改造及院落修缮项目</w:t>
            </w:r>
          </w:p>
        </w:tc>
        <w:tc>
          <w:tcPr>
            <w:tcW w:w="2835" w:type="dxa"/>
            <w:vAlign w:val="center"/>
          </w:tcPr>
          <w:p>
            <w:pPr>
              <w:pStyle w:val="16"/>
            </w:pPr>
            <w:r>
              <w:t>业务大厅升级改造及院落修缮项目数量</w:t>
            </w:r>
          </w:p>
        </w:tc>
        <w:tc>
          <w:tcPr>
            <w:tcW w:w="2551" w:type="dxa"/>
            <w:vAlign w:val="center"/>
          </w:tcPr>
          <w:p>
            <w:pPr>
              <w:pStyle w:val="16"/>
            </w:pPr>
            <w:r>
              <w:t>2项</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项目验收合格率</w:t>
            </w:r>
          </w:p>
        </w:tc>
        <w:tc>
          <w:tcPr>
            <w:tcW w:w="2835" w:type="dxa"/>
            <w:vAlign w:val="center"/>
          </w:tcPr>
          <w:p>
            <w:pPr>
              <w:pStyle w:val="16"/>
            </w:pPr>
            <w:r>
              <w:t>通过验收的工程量占建设、改造、修缮总量的比率</w:t>
            </w:r>
          </w:p>
        </w:tc>
        <w:tc>
          <w:tcPr>
            <w:tcW w:w="2551" w:type="dxa"/>
            <w:vAlign w:val="center"/>
          </w:tcPr>
          <w:p>
            <w:pPr>
              <w:pStyle w:val="16"/>
            </w:pPr>
            <w:r>
              <w:t>100%</w:t>
            </w:r>
          </w:p>
        </w:tc>
        <w:tc>
          <w:tcPr>
            <w:tcW w:w="2268" w:type="dxa"/>
            <w:vAlign w:val="center"/>
          </w:tcPr>
          <w:p>
            <w:pPr>
              <w:pStyle w:val="16"/>
            </w:pPr>
            <w:r>
              <w:t>验收标准、工作要求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工程按期完成率</w:t>
            </w:r>
          </w:p>
        </w:tc>
        <w:tc>
          <w:tcPr>
            <w:tcW w:w="2835" w:type="dxa"/>
            <w:vAlign w:val="center"/>
          </w:tcPr>
          <w:p>
            <w:pPr>
              <w:pStyle w:val="16"/>
            </w:pPr>
            <w:r>
              <w:t>按期完成的工程量占总工程量的比率</w:t>
            </w:r>
          </w:p>
        </w:tc>
        <w:tc>
          <w:tcPr>
            <w:tcW w:w="2551" w:type="dxa"/>
            <w:vAlign w:val="center"/>
          </w:tcPr>
          <w:p>
            <w:pPr>
              <w:pStyle w:val="16"/>
            </w:pPr>
            <w:r>
              <w:t>100%</w:t>
            </w:r>
          </w:p>
        </w:tc>
        <w:tc>
          <w:tcPr>
            <w:tcW w:w="2268" w:type="dxa"/>
            <w:vAlign w:val="center"/>
          </w:tcPr>
          <w:p>
            <w:pPr>
              <w:pStyle w:val="16"/>
            </w:pPr>
            <w:r>
              <w:t>按照合同时间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单位改造成本</w:t>
            </w:r>
          </w:p>
        </w:tc>
        <w:tc>
          <w:tcPr>
            <w:tcW w:w="2835" w:type="dxa"/>
            <w:vAlign w:val="center"/>
          </w:tcPr>
          <w:p>
            <w:pPr>
              <w:pStyle w:val="16"/>
            </w:pPr>
            <w:r>
              <w:t>改造总成本与改造总面积的比率</w:t>
            </w:r>
          </w:p>
        </w:tc>
        <w:tc>
          <w:tcPr>
            <w:tcW w:w="2551" w:type="dxa"/>
            <w:vAlign w:val="center"/>
          </w:tcPr>
          <w:p>
            <w:pPr>
              <w:pStyle w:val="16"/>
            </w:pPr>
            <w:r>
              <w:t>1271元/平米</w:t>
            </w:r>
          </w:p>
        </w:tc>
        <w:tc>
          <w:tcPr>
            <w:tcW w:w="2268" w:type="dxa"/>
            <w:vAlign w:val="center"/>
          </w:tcPr>
          <w:p>
            <w:pPr>
              <w:pStyle w:val="16"/>
            </w:pPr>
            <w:r>
              <w:t>实施方案、合同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应办尽办率</w:t>
            </w:r>
          </w:p>
        </w:tc>
        <w:tc>
          <w:tcPr>
            <w:tcW w:w="2835" w:type="dxa"/>
            <w:vAlign w:val="center"/>
          </w:tcPr>
          <w:p>
            <w:pPr>
              <w:pStyle w:val="16"/>
            </w:pPr>
            <w:r>
              <w:t>反映业务大厅工程改造后的提升作用</w:t>
            </w:r>
          </w:p>
        </w:tc>
        <w:tc>
          <w:tcPr>
            <w:tcW w:w="2551" w:type="dxa"/>
            <w:vAlign w:val="center"/>
          </w:tcPr>
          <w:p>
            <w:pPr>
              <w:pStyle w:val="16"/>
            </w:pPr>
            <w:r>
              <w:t>100%</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 xml:space="preserve">边界异议率 </w:t>
            </w:r>
          </w:p>
        </w:tc>
        <w:tc>
          <w:tcPr>
            <w:tcW w:w="2835" w:type="dxa"/>
            <w:vAlign w:val="center"/>
          </w:tcPr>
          <w:p>
            <w:pPr>
              <w:pStyle w:val="16"/>
            </w:pPr>
            <w:r>
              <w:t>改造工程对厘清边界的结果情况</w:t>
            </w:r>
          </w:p>
        </w:tc>
        <w:tc>
          <w:tcPr>
            <w:tcW w:w="2551" w:type="dxa"/>
            <w:vAlign w:val="center"/>
          </w:tcPr>
          <w:p>
            <w:pPr>
              <w:pStyle w:val="16"/>
            </w:pPr>
            <w:r>
              <w:t>100%</w:t>
            </w:r>
          </w:p>
        </w:tc>
        <w:tc>
          <w:tcPr>
            <w:tcW w:w="2268" w:type="dxa"/>
            <w:vAlign w:val="center"/>
          </w:tcPr>
          <w:p>
            <w:pPr>
              <w:pStyle w:val="16"/>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办公人员满意度</w:t>
            </w:r>
          </w:p>
        </w:tc>
        <w:tc>
          <w:tcPr>
            <w:tcW w:w="2835" w:type="dxa"/>
            <w:vAlign w:val="center"/>
          </w:tcPr>
          <w:p>
            <w:pPr>
              <w:pStyle w:val="16"/>
            </w:pPr>
            <w:r>
              <w:t>办公人员满意度</w:t>
            </w:r>
          </w:p>
        </w:tc>
        <w:tc>
          <w:tcPr>
            <w:tcW w:w="2551" w:type="dxa"/>
            <w:vAlign w:val="center"/>
          </w:tcPr>
          <w:p>
            <w:pPr>
              <w:pStyle w:val="16"/>
            </w:pPr>
            <w:r>
              <w:t>≥90%</w:t>
            </w:r>
          </w:p>
        </w:tc>
        <w:tc>
          <w:tcPr>
            <w:tcW w:w="2268"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仿宋" w:hAnsi="仿宋" w:eastAsia="仿宋" w:cs="Times New Roman"/>
          <w:sz w:val="32"/>
          <w:szCs w:val="24"/>
        </w:rPr>
      </w:pPr>
      <w:bookmarkStart w:id="0" w:name="_Toc471398468"/>
      <w:r>
        <w:rPr>
          <w:rFonts w:ascii="仿宋" w:hAnsi="仿宋" w:eastAsia="仿宋" w:cs="Times New Roman"/>
          <w:sz w:val="32"/>
          <w:szCs w:val="24"/>
        </w:rPr>
        <w:t>20</w:t>
      </w:r>
      <w:r>
        <w:rPr>
          <w:rFonts w:hint="eastAsia" w:ascii="仿宋" w:hAnsi="仿宋" w:eastAsia="仿宋" w:cs="Times New Roman"/>
          <w:sz w:val="32"/>
          <w:szCs w:val="24"/>
        </w:rPr>
        <w:t>22</w:t>
      </w:r>
      <w:r>
        <w:rPr>
          <w:rFonts w:ascii="仿宋" w:hAnsi="仿宋" w:eastAsia="仿宋" w:cs="Times New Roman"/>
          <w:sz w:val="32"/>
          <w:szCs w:val="24"/>
        </w:rPr>
        <w:t>年，我部门安排政府采购预算</w:t>
      </w:r>
      <w:r>
        <w:rPr>
          <w:rFonts w:hint="eastAsia" w:ascii="仿宋" w:hAnsi="仿宋" w:eastAsia="仿宋" w:cs="Times New Roman"/>
          <w:sz w:val="32"/>
          <w:szCs w:val="24"/>
          <w:lang w:val="en-US" w:eastAsia="zh-CN"/>
        </w:rPr>
        <w:t>0</w:t>
      </w:r>
      <w:r>
        <w:rPr>
          <w:rFonts w:ascii="仿宋" w:hAnsi="仿宋" w:eastAsia="仿宋" w:cs="Times New Roman"/>
          <w:sz w:val="32"/>
          <w:szCs w:val="24"/>
        </w:rPr>
        <w:t>万元。具体内容见下表。</w:t>
      </w:r>
    </w:p>
    <w:bookmarkEnd w:id="0"/>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1" w:name="_Toc64920910"/>
      <w:r>
        <w:rPr>
          <w:rFonts w:hint="eastAsia" w:ascii="方正小标宋_GBK" w:eastAsia="方正小标宋_GBK" w:cs="Times New Roman"/>
          <w:sz w:val="32"/>
        </w:rPr>
        <w:t>部门政府采购预算</w:t>
      </w:r>
      <w:bookmarkEnd w:id="1"/>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小标宋_GBK" w:eastAsia="方正小标宋_GBK" w:cs="Times New Roman"/>
                <w:sz w:val="24"/>
                <w:lang w:val="en-US" w:eastAsia="zh-CN"/>
              </w:rPr>
            </w:pPr>
            <w:r>
              <w:rPr>
                <w:rFonts w:hint="eastAsia" w:ascii="方正小标宋_GBK" w:eastAsia="方正小标宋_GBK"/>
                <w:sz w:val="24"/>
                <w:lang w:val="en-US" w:eastAsia="zh-CN"/>
              </w:rPr>
              <w:t>廊坊市</w:t>
            </w:r>
            <w:r>
              <w:rPr>
                <w:rFonts w:hint="eastAsia" w:ascii="方正小标宋_GBK" w:eastAsia="方正小标宋_GBK" w:cs="Times New Roman"/>
                <w:sz w:val="24"/>
              </w:rPr>
              <w:t>大厂回族自治县</w:t>
            </w:r>
            <w:r>
              <w:rPr>
                <w:rFonts w:hint="eastAsia" w:ascii="方正小标宋_GBK" w:eastAsia="方正小标宋_GBK"/>
                <w:sz w:val="24"/>
                <w:lang w:val="en-US" w:eastAsia="zh-CN"/>
              </w:rPr>
              <w:t>人民检察院</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r>
        <w:rPr>
          <w:rFonts w:hint="eastAsia" w:ascii="Times New Roman" w:hAnsi="Times New Roman" w:eastAsia="仿宋_GB2312" w:cs="Times New Roman"/>
        </w:rPr>
        <w:t>注:</w:t>
      </w:r>
      <w:r>
        <w:rPr>
          <w:rFonts w:hint="eastAsia" w:ascii="Times New Roman" w:hAnsi="Times New Roman" w:eastAsia="仿宋_GB2312" w:cs="Times New Roman"/>
          <w:lang w:val="en-US" w:eastAsia="zh-CN"/>
        </w:rPr>
        <w:t>空表列示。</w:t>
      </w:r>
      <w:r>
        <w:rPr>
          <w:rFonts w:hint="eastAsia" w:ascii="Times New Roman" w:hAnsi="Times New Roman" w:eastAsia="仿宋_GB2312" w:cs="Times New Roman"/>
        </w:rPr>
        <w:t>.</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仿宋" w:hAnsi="仿宋" w:eastAsia="仿宋" w:cs="Times New Roman"/>
          <w:sz w:val="32"/>
          <w:szCs w:val="32"/>
        </w:rPr>
      </w:pPr>
      <w:r>
        <w:rPr>
          <w:rFonts w:hint="eastAsia" w:ascii="仿宋" w:hAnsi="仿宋" w:eastAsia="仿宋" w:cs="Times New Roman"/>
          <w:sz w:val="32"/>
          <w:szCs w:val="32"/>
        </w:rPr>
        <w:t>大厂回族自治县</w:t>
      </w:r>
      <w:r>
        <w:rPr>
          <w:rFonts w:hint="eastAsia" w:ascii="仿宋" w:hAnsi="仿宋" w:eastAsia="仿宋" w:cs="Times New Roman"/>
          <w:sz w:val="32"/>
          <w:szCs w:val="32"/>
          <w:lang w:val="en-US" w:eastAsia="zh-CN"/>
        </w:rPr>
        <w:t>人民检察院</w:t>
      </w:r>
      <w:r>
        <w:rPr>
          <w:rFonts w:ascii="仿宋" w:hAnsi="仿宋" w:eastAsia="仿宋" w:cs="Times New Roman"/>
          <w:sz w:val="32"/>
          <w:szCs w:val="32"/>
        </w:rPr>
        <w:t>（含所属单位）上年末固定资产金额为</w:t>
      </w:r>
      <w:r>
        <w:rPr>
          <w:rFonts w:hint="eastAsia" w:ascii="仿宋" w:hAnsi="仿宋" w:eastAsia="仿宋" w:cs="Times New Roman"/>
          <w:sz w:val="32"/>
          <w:szCs w:val="32"/>
          <w:lang w:val="en-US" w:eastAsia="zh-CN"/>
        </w:rPr>
        <w:t>2245.36</w:t>
      </w:r>
      <w:r>
        <w:rPr>
          <w:rFonts w:ascii="仿宋" w:hAnsi="仿宋" w:eastAsia="仿宋" w:cs="Times New Roman"/>
          <w:sz w:val="32"/>
          <w:szCs w:val="32"/>
        </w:rPr>
        <w:t>万元</w:t>
      </w:r>
      <w:r>
        <w:rPr>
          <w:rFonts w:hint="eastAsia" w:ascii="仿宋" w:hAnsi="仿宋" w:eastAsia="仿宋" w:cs="Times New Roman"/>
          <w:sz w:val="32"/>
          <w:szCs w:val="32"/>
        </w:rPr>
        <w:t>（详见下表）</w:t>
      </w:r>
      <w:r>
        <w:rPr>
          <w:rFonts w:ascii="仿宋" w:hAnsi="仿宋" w:eastAsia="仿宋" w:cs="Times New Roman"/>
          <w:sz w:val="32"/>
          <w:szCs w:val="32"/>
        </w:rPr>
        <w:t>，本年度我部门拟购置固定资产</w:t>
      </w:r>
      <w:r>
        <w:rPr>
          <w:rFonts w:hint="eastAsia" w:ascii="仿宋" w:hAnsi="仿宋" w:eastAsia="仿宋" w:cs="Times New Roman"/>
          <w:sz w:val="32"/>
          <w:szCs w:val="32"/>
        </w:rPr>
        <w:t>总额为</w:t>
      </w:r>
      <w:r>
        <w:rPr>
          <w:rFonts w:hint="eastAsia" w:ascii="仿宋" w:hAnsi="仿宋" w:eastAsia="仿宋" w:cs="Times New Roman"/>
          <w:sz w:val="32"/>
          <w:szCs w:val="32"/>
          <w:lang w:val="en-US" w:eastAsia="zh-CN"/>
        </w:rPr>
        <w:t>188.92</w:t>
      </w:r>
      <w:r>
        <w:rPr>
          <w:rFonts w:hint="eastAsia" w:ascii="仿宋" w:hAnsi="仿宋" w:eastAsia="仿宋" w:cs="Times New Roman"/>
          <w:sz w:val="32"/>
          <w:szCs w:val="32"/>
        </w:rPr>
        <w:t>万元，</w:t>
      </w:r>
      <w:r>
        <w:rPr>
          <w:rFonts w:ascii="仿宋" w:hAnsi="仿宋" w:eastAsia="仿宋" w:cs="Times New Roman"/>
          <w:sz w:val="32"/>
          <w:szCs w:val="32"/>
        </w:rPr>
        <w:t>主要为</w:t>
      </w:r>
      <w:r>
        <w:rPr>
          <w:rFonts w:hint="eastAsia" w:ascii="仿宋" w:hAnsi="仿宋" w:eastAsia="仿宋" w:cs="Times New Roman"/>
          <w:sz w:val="32"/>
          <w:szCs w:val="32"/>
        </w:rPr>
        <w:t>（</w:t>
      </w:r>
      <w:r>
        <w:rPr>
          <w:rFonts w:hint="eastAsia" w:ascii="仿宋" w:hAnsi="仿宋" w:eastAsia="仿宋" w:cs="Times New Roman"/>
          <w:sz w:val="32"/>
          <w:szCs w:val="32"/>
          <w:lang w:val="en-US" w:eastAsia="zh-CN"/>
        </w:rPr>
        <w:t>密码机、固定资产大型修缮</w:t>
      </w:r>
      <w:r>
        <w:rPr>
          <w:rFonts w:ascii="仿宋" w:hAnsi="仿宋" w:eastAsia="仿宋" w:cs="Times New Roman"/>
          <w:sz w:val="32"/>
          <w:szCs w:val="32"/>
        </w:rPr>
        <w:t>计算机设备、办公家具</w:t>
      </w:r>
      <w:r>
        <w:rPr>
          <w:rFonts w:hint="eastAsia" w:ascii="仿宋" w:hAnsi="仿宋" w:eastAsia="仿宋" w:cs="Times New Roman"/>
          <w:sz w:val="32"/>
          <w:szCs w:val="32"/>
        </w:rPr>
        <w:t>）</w:t>
      </w:r>
      <w:r>
        <w:rPr>
          <w:rFonts w:ascii="仿宋" w:hAnsi="仿宋" w:eastAsia="仿宋" w:cs="Times New Roman"/>
          <w:sz w:val="32"/>
          <w:szCs w:val="32"/>
        </w:rPr>
        <w:t>等，已列入政府采购预算</w:t>
      </w:r>
      <w:r>
        <w:rPr>
          <w:rFonts w:hint="eastAsia" w:ascii="仿宋" w:hAnsi="仿宋" w:eastAsia="仿宋" w:cs="Times New Roman"/>
          <w:sz w:val="32"/>
          <w:szCs w:val="32"/>
        </w:rPr>
        <w:t>，</w:t>
      </w:r>
      <w:r>
        <w:rPr>
          <w:rFonts w:ascii="仿宋" w:hAnsi="仿宋" w:eastAsia="仿宋" w:cs="Times New Roman"/>
          <w:sz w:val="32"/>
          <w:szCs w:val="32"/>
        </w:rPr>
        <w:t>详见</w:t>
      </w:r>
      <w:r>
        <w:rPr>
          <w:rFonts w:hint="eastAsia" w:ascii="仿宋" w:hAnsi="仿宋" w:eastAsia="仿宋" w:cs="Times New Roman"/>
          <w:sz w:val="32"/>
          <w:szCs w:val="32"/>
        </w:rPr>
        <w:t>政府采购</w:t>
      </w:r>
      <w:r>
        <w:rPr>
          <w:rFonts w:ascii="仿宋" w:hAnsi="仿宋" w:eastAsia="仿宋"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仿宋" w:hAnsi="仿宋" w:eastAsia="仿宋" w:cs="Times New Roman"/>
                <w:b/>
                <w:bCs/>
                <w:kern w:val="0"/>
                <w:sz w:val="32"/>
                <w:szCs w:val="32"/>
              </w:rPr>
            </w:pPr>
            <w:r>
              <w:rPr>
                <w:rFonts w:hint="eastAsia" w:ascii="仿宋" w:hAnsi="仿宋" w:eastAsia="仿宋" w:cs="Times New Roman"/>
                <w:b/>
                <w:bCs/>
                <w:kern w:val="0"/>
                <w:sz w:val="32"/>
                <w:szCs w:val="32"/>
              </w:rPr>
              <w:t>大厂回族自治县县</w:t>
            </w:r>
            <w:r>
              <w:rPr>
                <w:rFonts w:ascii="仿宋" w:hAnsi="仿宋" w:eastAsia="仿宋" w:cs="Times New Roman"/>
                <w:b/>
                <w:bCs/>
                <w:kern w:val="0"/>
                <w:sz w:val="32"/>
                <w:szCs w:val="32"/>
              </w:rPr>
              <w:t>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default" w:ascii="Times New Roman" w:hAnsi="Times New Roman" w:eastAsia="仿宋_GB2312" w:cs="Times New Roman"/>
                <w:kern w:val="0"/>
                <w:sz w:val="22"/>
                <w:lang w:val="en-US"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大厂回族自治县</w:t>
            </w:r>
            <w:r>
              <w:rPr>
                <w:rFonts w:hint="eastAsia" w:ascii="Times New Roman" w:hAnsi="Times New Roman" w:eastAsia="仿宋_GB2312" w:cs="Times New Roman"/>
                <w:kern w:val="0"/>
                <w:sz w:val="22"/>
                <w:lang w:val="en-US" w:eastAsia="zh-CN"/>
              </w:rPr>
              <w:t>人民检察院</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21</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2245.36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2,823.00</w:t>
            </w:r>
            <w:r>
              <w:rPr>
                <w:rFonts w:hint="eastAsia" w:ascii="Times New Roman" w:hAnsi="Times New Roman" w:eastAsia="仿宋_GB2312" w:cs="Times New Roman"/>
                <w:sz w:val="22"/>
              </w:rPr>
              <w:tab/>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680.44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2420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611.23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7</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117.58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813.42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1409</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633.92</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1、一般公共预算拨款收入：</w:t>
      </w:r>
      <w:r>
        <w:rPr>
          <w:rFonts w:ascii="仿宋" w:hAnsi="仿宋" w:eastAsia="仿宋" w:cs="Times New Roman"/>
          <w:sz w:val="32"/>
          <w:szCs w:val="32"/>
        </w:rPr>
        <w:t>指</w:t>
      </w:r>
      <w:r>
        <w:rPr>
          <w:rFonts w:hint="eastAsia" w:ascii="仿宋" w:hAnsi="仿宋" w:eastAsia="仿宋" w:cs="Times New Roman"/>
          <w:sz w:val="32"/>
          <w:szCs w:val="32"/>
          <w:lang w:val="en-US" w:eastAsia="zh-CN"/>
        </w:rPr>
        <w:t>县</w:t>
      </w:r>
      <w:r>
        <w:rPr>
          <w:rFonts w:ascii="仿宋" w:hAnsi="仿宋" w:eastAsia="仿宋" w:cs="Times New Roman"/>
          <w:sz w:val="32"/>
          <w:szCs w:val="32"/>
        </w:rPr>
        <w:t>级财政当年拨付的资金。</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2、事业收入：</w:t>
      </w:r>
      <w:r>
        <w:rPr>
          <w:rFonts w:ascii="仿宋" w:hAnsi="仿宋" w:eastAsia="仿宋" w:cs="Times New Roman"/>
          <w:sz w:val="32"/>
          <w:szCs w:val="32"/>
        </w:rPr>
        <w:t>指事业单位开展专业业务活动及辅助活动所取得的收入。</w:t>
      </w:r>
    </w:p>
    <w:p>
      <w:pPr>
        <w:tabs>
          <w:tab w:val="left" w:pos="11490"/>
        </w:tabs>
        <w:spacing w:line="584" w:lineRule="exact"/>
        <w:ind w:firstLine="643" w:firstLineChars="200"/>
        <w:rPr>
          <w:rFonts w:ascii="仿宋" w:hAnsi="仿宋" w:eastAsia="仿宋" w:cs="Times New Roman"/>
          <w:b/>
          <w:sz w:val="32"/>
          <w:szCs w:val="32"/>
        </w:rPr>
      </w:pPr>
      <w:r>
        <w:rPr>
          <w:rFonts w:ascii="仿宋" w:hAnsi="仿宋" w:eastAsia="仿宋" w:cs="Times New Roman"/>
          <w:b/>
          <w:sz w:val="32"/>
          <w:szCs w:val="32"/>
        </w:rPr>
        <w:t>3、其他收入：</w:t>
      </w:r>
      <w:r>
        <w:rPr>
          <w:rFonts w:ascii="仿宋" w:hAnsi="仿宋" w:eastAsia="仿宋"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4、基本支出：</w:t>
      </w:r>
      <w:r>
        <w:rPr>
          <w:rFonts w:ascii="仿宋" w:hAnsi="仿宋" w:eastAsia="仿宋"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5、项目支出：</w:t>
      </w:r>
      <w:r>
        <w:rPr>
          <w:rFonts w:ascii="仿宋" w:hAnsi="仿宋" w:eastAsia="仿宋"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6、上缴上级支出：</w:t>
      </w:r>
      <w:r>
        <w:rPr>
          <w:rFonts w:ascii="仿宋" w:hAnsi="仿宋" w:eastAsia="仿宋" w:cs="Times New Roman"/>
          <w:sz w:val="32"/>
          <w:szCs w:val="32"/>
        </w:rPr>
        <w:t>指下级单位上缴上级的支出。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7、“三公”经费：</w:t>
      </w:r>
      <w:r>
        <w:rPr>
          <w:rFonts w:ascii="仿宋" w:hAnsi="仿宋" w:eastAsia="仿宋" w:cs="Times New Roman"/>
          <w:sz w:val="32"/>
          <w:szCs w:val="32"/>
        </w:rPr>
        <w:t>纳入</w:t>
      </w:r>
      <w:r>
        <w:rPr>
          <w:rFonts w:hint="eastAsia" w:ascii="仿宋" w:hAnsi="仿宋" w:eastAsia="仿宋" w:cs="Times New Roman"/>
          <w:sz w:val="32"/>
          <w:szCs w:val="32"/>
          <w:lang w:val="en-US" w:eastAsia="zh-CN"/>
        </w:rPr>
        <w:t>县</w:t>
      </w:r>
      <w:r>
        <w:rPr>
          <w:rFonts w:ascii="仿宋" w:hAnsi="仿宋" w:eastAsia="仿宋" w:cs="Times New Roman"/>
          <w:sz w:val="32"/>
          <w:szCs w:val="32"/>
        </w:rPr>
        <w:t>级财政预算管理的“三公”经费，是指</w:t>
      </w:r>
      <w:r>
        <w:rPr>
          <w:rFonts w:hint="eastAsia" w:ascii="仿宋" w:hAnsi="仿宋" w:eastAsia="仿宋" w:cs="Times New Roman"/>
          <w:sz w:val="32"/>
          <w:szCs w:val="32"/>
          <w:lang w:val="en-US" w:eastAsia="zh-CN"/>
        </w:rPr>
        <w:t>县</w:t>
      </w:r>
      <w:bookmarkStart w:id="2" w:name="_GoBack"/>
      <w:bookmarkEnd w:id="2"/>
      <w:r>
        <w:rPr>
          <w:rFonts w:ascii="仿宋" w:hAnsi="仿宋" w:eastAsia="仿宋"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8、机关运行费：</w:t>
      </w:r>
      <w:r>
        <w:rPr>
          <w:rFonts w:ascii="仿宋" w:hAnsi="仿宋" w:eastAsia="仿宋"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9、上年结转：</w:t>
      </w:r>
      <w:r>
        <w:rPr>
          <w:rFonts w:ascii="仿宋" w:hAnsi="仿宋" w:eastAsia="仿宋" w:cs="Times New Roman"/>
          <w:sz w:val="32"/>
          <w:szCs w:val="32"/>
        </w:rPr>
        <w:t>指以前年度尚未完成、结转到本年仍按原规定用途继续使用的资金。</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10、事业单位经营支出：</w:t>
      </w:r>
      <w:r>
        <w:rPr>
          <w:rFonts w:ascii="仿宋" w:hAnsi="仿宋" w:eastAsia="仿宋"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书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7</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3A9495"/>
    <w:multiLevelType w:val="singleLevel"/>
    <w:tmpl w:val="053A9495"/>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FkODgzMGYzODMyMWE4MGE5N2FmMDEyMGVlZGYwNjQifQ=="/>
  </w:docVars>
  <w:rsids>
    <w:rsidRoot w:val="00D347CC"/>
    <w:rsid w:val="000050DD"/>
    <w:rsid w:val="000261B2"/>
    <w:rsid w:val="000D16EE"/>
    <w:rsid w:val="001F687F"/>
    <w:rsid w:val="00262092"/>
    <w:rsid w:val="003073D9"/>
    <w:rsid w:val="003909CD"/>
    <w:rsid w:val="00391E11"/>
    <w:rsid w:val="003F44D0"/>
    <w:rsid w:val="003F732C"/>
    <w:rsid w:val="00406D17"/>
    <w:rsid w:val="00457F81"/>
    <w:rsid w:val="004A54AA"/>
    <w:rsid w:val="004E0A4F"/>
    <w:rsid w:val="00507F82"/>
    <w:rsid w:val="0053255B"/>
    <w:rsid w:val="00536CE0"/>
    <w:rsid w:val="00611D60"/>
    <w:rsid w:val="00682F94"/>
    <w:rsid w:val="00774782"/>
    <w:rsid w:val="008552EF"/>
    <w:rsid w:val="008F2064"/>
    <w:rsid w:val="009832FD"/>
    <w:rsid w:val="00B80935"/>
    <w:rsid w:val="00D347CC"/>
    <w:rsid w:val="00E375C8"/>
    <w:rsid w:val="00E46D39"/>
    <w:rsid w:val="00E771B9"/>
    <w:rsid w:val="00ED3546"/>
    <w:rsid w:val="00EE07AC"/>
    <w:rsid w:val="0794545B"/>
    <w:rsid w:val="0CFC459B"/>
    <w:rsid w:val="156B5E18"/>
    <w:rsid w:val="158B1248"/>
    <w:rsid w:val="1CA129B8"/>
    <w:rsid w:val="1E087E0B"/>
    <w:rsid w:val="22672A50"/>
    <w:rsid w:val="25352DFF"/>
    <w:rsid w:val="25766A29"/>
    <w:rsid w:val="33D069C9"/>
    <w:rsid w:val="411E6EBB"/>
    <w:rsid w:val="47AD192C"/>
    <w:rsid w:val="4F471874"/>
    <w:rsid w:val="4F57112F"/>
    <w:rsid w:val="56927CD7"/>
    <w:rsid w:val="5B8C0C3C"/>
    <w:rsid w:val="620B6EFE"/>
    <w:rsid w:val="67405AD6"/>
    <w:rsid w:val="6B551158"/>
    <w:rsid w:val="6BB833CF"/>
    <w:rsid w:val="705411BF"/>
    <w:rsid w:val="715F0A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3">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4">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5">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6">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7">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32</Pages>
  <Words>11981</Words>
  <Characters>12634</Characters>
  <Lines>23</Lines>
  <Paragraphs>6</Paragraphs>
  <TotalTime>27</TotalTime>
  <ScaleCrop>false</ScaleCrop>
  <LinksUpToDate>false</LinksUpToDate>
  <CharactersWithSpaces>12667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cp:lastModifiedBy>
  <cp:lastPrinted>2018-01-30T06:12:00Z</cp:lastPrinted>
  <dcterms:modified xsi:type="dcterms:W3CDTF">2022-07-12T01:31:49Z</dcterms:modified>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73DD9BF6195C4D64ABD97E343B2D5478</vt:lpwstr>
  </property>
</Properties>
</file>